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A620" w14:textId="77777777" w:rsidR="004E6458" w:rsidRPr="00DB1566" w:rsidRDefault="00153488" w:rsidP="004E6458">
      <w:pPr>
        <w:snapToGrid w:val="0"/>
        <w:jc w:val="center"/>
        <w:rPr>
          <w:rFonts w:eastAsia="標楷體"/>
          <w:b/>
          <w:color w:val="000000" w:themeColor="text1"/>
          <w:sz w:val="28"/>
          <w:szCs w:val="28"/>
        </w:rPr>
      </w:pPr>
      <w:r w:rsidRPr="00DB1566">
        <w:rPr>
          <w:rFonts w:eastAsia="標楷體"/>
          <w:b/>
          <w:bCs/>
          <w:color w:val="000000" w:themeColor="text1"/>
          <w:sz w:val="28"/>
          <w:szCs w:val="28"/>
        </w:rPr>
        <w:t>國立中興大學教師評鑑準則</w:t>
      </w:r>
    </w:p>
    <w:p w14:paraId="0490A8EB" w14:textId="0A219C76" w:rsidR="00153488" w:rsidRPr="00DB1566" w:rsidRDefault="004E6458" w:rsidP="004E6458">
      <w:pPr>
        <w:snapToGrid w:val="0"/>
        <w:jc w:val="center"/>
        <w:rPr>
          <w:rFonts w:eastAsia="標楷體"/>
          <w:b/>
          <w:color w:val="000000" w:themeColor="text1"/>
          <w:sz w:val="28"/>
          <w:szCs w:val="28"/>
        </w:rPr>
      </w:pPr>
      <w:r w:rsidRPr="00DB1566">
        <w:rPr>
          <w:rFonts w:eastAsia="標楷體"/>
          <w:b/>
          <w:bCs/>
          <w:color w:val="000000" w:themeColor="text1"/>
          <w:sz w:val="28"/>
          <w:szCs w:val="28"/>
        </w:rPr>
        <w:t xml:space="preserve">National Chung </w:t>
      </w:r>
      <w:proofErr w:type="spellStart"/>
      <w:r w:rsidRPr="00DB1566">
        <w:rPr>
          <w:rFonts w:eastAsia="標楷體"/>
          <w:b/>
          <w:bCs/>
          <w:color w:val="000000" w:themeColor="text1"/>
          <w:sz w:val="28"/>
          <w:szCs w:val="28"/>
        </w:rPr>
        <w:t>Hsing</w:t>
      </w:r>
      <w:proofErr w:type="spellEnd"/>
      <w:r w:rsidRPr="00DB1566">
        <w:rPr>
          <w:rFonts w:eastAsia="標楷體"/>
          <w:b/>
          <w:bCs/>
          <w:color w:val="000000" w:themeColor="text1"/>
          <w:sz w:val="28"/>
          <w:szCs w:val="28"/>
        </w:rPr>
        <w:t xml:space="preserve"> University Faculty Evaluation Guidelines</w:t>
      </w:r>
    </w:p>
    <w:p w14:paraId="769F5A9E"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91</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10</w:t>
      </w:r>
      <w:r w:rsidRPr="00DB1566">
        <w:rPr>
          <w:rFonts w:eastAsia="標楷體"/>
          <w:color w:val="000000" w:themeColor="text1"/>
          <w:sz w:val="20"/>
        </w:rPr>
        <w:t>日第</w:t>
      </w:r>
      <w:r w:rsidRPr="00DB1566">
        <w:rPr>
          <w:rFonts w:eastAsia="標楷體"/>
          <w:color w:val="000000" w:themeColor="text1"/>
          <w:sz w:val="20"/>
        </w:rPr>
        <w:t>42</w:t>
      </w:r>
      <w:r w:rsidRPr="00DB1566">
        <w:rPr>
          <w:rFonts w:eastAsia="標楷體"/>
          <w:color w:val="000000" w:themeColor="text1"/>
          <w:sz w:val="20"/>
        </w:rPr>
        <w:t>次校務會議修正</w:t>
      </w:r>
    </w:p>
    <w:p w14:paraId="3CACEA61" w14:textId="07C565E8"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10, 2002</w:t>
      </w:r>
      <w:r w:rsidR="00ED7217" w:rsidRPr="00DB1566">
        <w:rPr>
          <w:rFonts w:eastAsia="標楷體"/>
          <w:color w:val="000000" w:themeColor="text1"/>
          <w:sz w:val="20"/>
        </w:rPr>
        <w:t xml:space="preserve"> </w:t>
      </w:r>
      <w:r w:rsidRPr="00DB1566">
        <w:rPr>
          <w:rFonts w:eastAsia="標楷體"/>
          <w:color w:val="000000" w:themeColor="text1"/>
          <w:sz w:val="20"/>
        </w:rPr>
        <w:t>Amended at the 42nd University Council meeting</w:t>
      </w:r>
    </w:p>
    <w:p w14:paraId="6AEE9F68"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94</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13</w:t>
      </w:r>
      <w:r w:rsidRPr="00DB1566">
        <w:rPr>
          <w:rFonts w:eastAsia="標楷體"/>
          <w:color w:val="000000" w:themeColor="text1"/>
          <w:sz w:val="20"/>
        </w:rPr>
        <w:t>日第</w:t>
      </w:r>
      <w:r w:rsidRPr="00DB1566">
        <w:rPr>
          <w:rFonts w:eastAsia="標楷體"/>
          <w:color w:val="000000" w:themeColor="text1"/>
          <w:sz w:val="20"/>
        </w:rPr>
        <w:t>48</w:t>
      </w:r>
      <w:r w:rsidRPr="00DB1566">
        <w:rPr>
          <w:rFonts w:eastAsia="標楷體"/>
          <w:color w:val="000000" w:themeColor="text1"/>
          <w:sz w:val="20"/>
        </w:rPr>
        <w:t>次校務會議修正</w:t>
      </w:r>
      <w:r w:rsidRPr="00DB1566">
        <w:rPr>
          <w:rFonts w:eastAsia="標楷體"/>
          <w:color w:val="000000" w:themeColor="text1"/>
          <w:sz w:val="20"/>
        </w:rPr>
        <w:t xml:space="preserve"> (</w:t>
      </w:r>
      <w:r w:rsidRPr="00DB1566">
        <w:rPr>
          <w:rFonts w:eastAsia="標楷體"/>
          <w:color w:val="000000" w:themeColor="text1"/>
          <w:sz w:val="20"/>
        </w:rPr>
        <w:t>第</w:t>
      </w:r>
      <w:r w:rsidRPr="00DB1566">
        <w:rPr>
          <w:rFonts w:eastAsia="標楷體"/>
          <w:color w:val="000000" w:themeColor="text1"/>
          <w:sz w:val="20"/>
        </w:rPr>
        <w:t>6</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50A86F1E" w14:textId="3A3D2E04"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13, 2005</w:t>
      </w:r>
      <w:r w:rsidR="00ED7217" w:rsidRPr="00DB1566">
        <w:rPr>
          <w:rFonts w:eastAsia="標楷體"/>
          <w:color w:val="000000" w:themeColor="text1"/>
          <w:sz w:val="20"/>
        </w:rPr>
        <w:t xml:space="preserve"> </w:t>
      </w:r>
      <w:r w:rsidRPr="00DB1566">
        <w:rPr>
          <w:rFonts w:eastAsia="標楷體"/>
          <w:color w:val="000000" w:themeColor="text1"/>
          <w:sz w:val="20"/>
        </w:rPr>
        <w:t>(Articles 6 and 9) amended at the 48th University Council meeting</w:t>
      </w:r>
    </w:p>
    <w:p w14:paraId="246B4050"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96</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11</w:t>
      </w:r>
      <w:r w:rsidRPr="00DB1566">
        <w:rPr>
          <w:rFonts w:eastAsia="標楷體"/>
          <w:color w:val="000000" w:themeColor="text1"/>
          <w:sz w:val="20"/>
        </w:rPr>
        <w:t>日第</w:t>
      </w:r>
      <w:r w:rsidRPr="00DB1566">
        <w:rPr>
          <w:rFonts w:eastAsia="標楷體"/>
          <w:color w:val="000000" w:themeColor="text1"/>
          <w:sz w:val="20"/>
        </w:rPr>
        <w:t>52</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68BBB09B" w14:textId="24CF96A3"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11, 2007</w:t>
      </w:r>
      <w:r w:rsidR="00ED7217" w:rsidRPr="00DB1566">
        <w:rPr>
          <w:rFonts w:eastAsia="標楷體"/>
          <w:color w:val="000000" w:themeColor="text1"/>
          <w:sz w:val="20"/>
        </w:rPr>
        <w:t xml:space="preserve"> </w:t>
      </w:r>
      <w:r w:rsidRPr="00DB1566">
        <w:rPr>
          <w:rFonts w:eastAsia="標楷體"/>
          <w:color w:val="000000" w:themeColor="text1"/>
          <w:sz w:val="20"/>
        </w:rPr>
        <w:t>(Articles 2 and 9) amended at the 52nd University Council meeting</w:t>
      </w:r>
    </w:p>
    <w:p w14:paraId="5FE077CD"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96</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7</w:t>
      </w:r>
      <w:r w:rsidRPr="00DB1566">
        <w:rPr>
          <w:rFonts w:eastAsia="標楷體"/>
          <w:color w:val="000000" w:themeColor="text1"/>
          <w:sz w:val="20"/>
        </w:rPr>
        <w:t>日第</w:t>
      </w:r>
      <w:r w:rsidRPr="00DB1566">
        <w:rPr>
          <w:rFonts w:eastAsia="標楷體"/>
          <w:color w:val="000000" w:themeColor="text1"/>
          <w:sz w:val="20"/>
        </w:rPr>
        <w:t>53</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1~10</w:t>
      </w:r>
      <w:r w:rsidRPr="00DB1566">
        <w:rPr>
          <w:rFonts w:eastAsia="標楷體"/>
          <w:color w:val="000000" w:themeColor="text1"/>
          <w:sz w:val="20"/>
        </w:rPr>
        <w:t>條</w:t>
      </w:r>
      <w:r w:rsidRPr="00DB1566">
        <w:rPr>
          <w:rFonts w:eastAsia="標楷體"/>
          <w:color w:val="000000" w:themeColor="text1"/>
          <w:sz w:val="20"/>
        </w:rPr>
        <w:t>)</w:t>
      </w:r>
    </w:p>
    <w:p w14:paraId="03731AEE" w14:textId="0E860DCF"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December 7, 2007</w:t>
      </w:r>
      <w:r w:rsidR="00ED7217" w:rsidRPr="00DB1566">
        <w:rPr>
          <w:rFonts w:eastAsia="標楷體"/>
          <w:color w:val="000000" w:themeColor="text1"/>
          <w:sz w:val="20"/>
        </w:rPr>
        <w:t xml:space="preserve"> </w:t>
      </w:r>
      <w:r w:rsidRPr="00DB1566">
        <w:rPr>
          <w:rFonts w:eastAsia="標楷體"/>
          <w:color w:val="000000" w:themeColor="text1"/>
          <w:sz w:val="20"/>
        </w:rPr>
        <w:t>(Articles 1 through 10) amended at the 53rd University Council meeting</w:t>
      </w:r>
    </w:p>
    <w:p w14:paraId="41DCA0DB"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97</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12</w:t>
      </w:r>
      <w:r w:rsidRPr="00DB1566">
        <w:rPr>
          <w:rFonts w:eastAsia="標楷體"/>
          <w:color w:val="000000" w:themeColor="text1"/>
          <w:sz w:val="20"/>
        </w:rPr>
        <w:t>日第</w:t>
      </w:r>
      <w:r w:rsidRPr="00DB1566">
        <w:rPr>
          <w:rFonts w:eastAsia="標楷體"/>
          <w:color w:val="000000" w:themeColor="text1"/>
          <w:sz w:val="20"/>
        </w:rPr>
        <w:t>55</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71DCD029" w14:textId="0C6AC668"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December 12, 2008</w:t>
      </w:r>
      <w:r w:rsidR="00ED7217" w:rsidRPr="00DB1566">
        <w:rPr>
          <w:rFonts w:eastAsia="標楷體"/>
          <w:color w:val="000000" w:themeColor="text1"/>
          <w:sz w:val="20"/>
        </w:rPr>
        <w:t xml:space="preserve"> </w:t>
      </w:r>
      <w:r w:rsidRPr="00DB1566">
        <w:rPr>
          <w:rFonts w:eastAsia="標楷體"/>
          <w:color w:val="000000" w:themeColor="text1"/>
          <w:sz w:val="20"/>
        </w:rPr>
        <w:t>(Article 9) amended at the 55th University Council meeting</w:t>
      </w:r>
    </w:p>
    <w:p w14:paraId="0D40E4DB"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98</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8</w:t>
      </w:r>
      <w:r w:rsidRPr="00DB1566">
        <w:rPr>
          <w:rFonts w:eastAsia="標楷體"/>
          <w:color w:val="000000" w:themeColor="text1"/>
          <w:sz w:val="20"/>
        </w:rPr>
        <w:t>日第</w:t>
      </w:r>
      <w:r w:rsidRPr="00DB1566">
        <w:rPr>
          <w:rFonts w:eastAsia="標楷體"/>
          <w:color w:val="000000" w:themeColor="text1"/>
          <w:sz w:val="20"/>
        </w:rPr>
        <w:t>56</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4</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w:t>
      </w:r>
      <w:r w:rsidRPr="00DB1566">
        <w:rPr>
          <w:rFonts w:eastAsia="標楷體"/>
          <w:color w:val="000000" w:themeColor="text1"/>
          <w:sz w:val="20"/>
        </w:rPr>
        <w:t>11</w:t>
      </w:r>
      <w:r w:rsidRPr="00DB1566">
        <w:rPr>
          <w:rFonts w:eastAsia="標楷體"/>
          <w:color w:val="000000" w:themeColor="text1"/>
          <w:sz w:val="20"/>
        </w:rPr>
        <w:t>、</w:t>
      </w:r>
      <w:r w:rsidRPr="00DB1566">
        <w:rPr>
          <w:rFonts w:eastAsia="標楷體"/>
          <w:color w:val="000000" w:themeColor="text1"/>
          <w:sz w:val="20"/>
        </w:rPr>
        <w:t>12</w:t>
      </w:r>
      <w:r w:rsidRPr="00DB1566">
        <w:rPr>
          <w:rFonts w:eastAsia="標楷體"/>
          <w:color w:val="000000" w:themeColor="text1"/>
          <w:sz w:val="20"/>
        </w:rPr>
        <w:t>、</w:t>
      </w:r>
      <w:r w:rsidRPr="00DB1566">
        <w:rPr>
          <w:rFonts w:eastAsia="標楷體"/>
          <w:color w:val="000000" w:themeColor="text1"/>
          <w:sz w:val="20"/>
        </w:rPr>
        <w:t>13</w:t>
      </w:r>
      <w:r w:rsidRPr="00DB1566">
        <w:rPr>
          <w:rFonts w:eastAsia="標楷體"/>
          <w:color w:val="000000" w:themeColor="text1"/>
          <w:sz w:val="20"/>
        </w:rPr>
        <w:t>、</w:t>
      </w:r>
      <w:r w:rsidRPr="00DB1566">
        <w:rPr>
          <w:rFonts w:eastAsia="標楷體"/>
          <w:color w:val="000000" w:themeColor="text1"/>
          <w:sz w:val="20"/>
        </w:rPr>
        <w:t>14</w:t>
      </w:r>
      <w:r w:rsidRPr="00DB1566">
        <w:rPr>
          <w:rFonts w:eastAsia="標楷體"/>
          <w:color w:val="000000" w:themeColor="text1"/>
          <w:sz w:val="20"/>
        </w:rPr>
        <w:t>條</w:t>
      </w:r>
      <w:r w:rsidRPr="00DB1566">
        <w:rPr>
          <w:rFonts w:eastAsia="標楷體"/>
          <w:color w:val="000000" w:themeColor="text1"/>
          <w:sz w:val="20"/>
        </w:rPr>
        <w:t>)</w:t>
      </w:r>
    </w:p>
    <w:p w14:paraId="3F2A9B79" w14:textId="761F862C"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8, 2009</w:t>
      </w:r>
      <w:r w:rsidR="00ED7217" w:rsidRPr="00DB1566">
        <w:rPr>
          <w:rFonts w:eastAsia="標楷體"/>
          <w:color w:val="000000" w:themeColor="text1"/>
          <w:sz w:val="20"/>
        </w:rPr>
        <w:t xml:space="preserve"> </w:t>
      </w:r>
      <w:r w:rsidRPr="00DB1566">
        <w:rPr>
          <w:rFonts w:eastAsia="標楷體"/>
          <w:color w:val="000000" w:themeColor="text1"/>
          <w:sz w:val="20"/>
        </w:rPr>
        <w:t>(Articles 2, 4, 9, 11, 12, 13, and 14) amended at the 56th University Council meeting</w:t>
      </w:r>
    </w:p>
    <w:p w14:paraId="0B8BA31A"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98</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11</w:t>
      </w:r>
      <w:r w:rsidRPr="00DB1566">
        <w:rPr>
          <w:rFonts w:eastAsia="標楷體"/>
          <w:color w:val="000000" w:themeColor="text1"/>
          <w:sz w:val="20"/>
        </w:rPr>
        <w:t>日第</w:t>
      </w:r>
      <w:r w:rsidRPr="00DB1566">
        <w:rPr>
          <w:rFonts w:eastAsia="標楷體"/>
          <w:color w:val="000000" w:themeColor="text1"/>
          <w:sz w:val="20"/>
        </w:rPr>
        <w:t>57</w:t>
      </w:r>
      <w:r w:rsidRPr="00DB1566">
        <w:rPr>
          <w:rFonts w:eastAsia="標楷體"/>
          <w:color w:val="000000" w:themeColor="text1"/>
          <w:sz w:val="20"/>
        </w:rPr>
        <w:t>次校務會議修正</w:t>
      </w:r>
      <w:r w:rsidRPr="00DB1566">
        <w:rPr>
          <w:rFonts w:eastAsia="標楷體"/>
          <w:color w:val="000000" w:themeColor="text1"/>
          <w:sz w:val="20"/>
        </w:rPr>
        <w:t xml:space="preserve"> (</w:t>
      </w:r>
      <w:r w:rsidRPr="00DB1566">
        <w:rPr>
          <w:rFonts w:eastAsia="標楷體"/>
          <w:color w:val="000000" w:themeColor="text1"/>
          <w:sz w:val="20"/>
        </w:rPr>
        <w:t>第</w:t>
      </w:r>
      <w:r w:rsidRPr="00DB1566">
        <w:rPr>
          <w:rFonts w:eastAsia="標楷體"/>
          <w:color w:val="000000" w:themeColor="text1"/>
          <w:sz w:val="20"/>
        </w:rPr>
        <w:t>3</w:t>
      </w:r>
      <w:r w:rsidRPr="00DB1566">
        <w:rPr>
          <w:rFonts w:eastAsia="標楷體"/>
          <w:color w:val="000000" w:themeColor="text1"/>
          <w:sz w:val="20"/>
        </w:rPr>
        <w:t>條</w:t>
      </w:r>
      <w:r w:rsidRPr="00DB1566">
        <w:rPr>
          <w:rFonts w:eastAsia="標楷體"/>
          <w:color w:val="000000" w:themeColor="text1"/>
          <w:sz w:val="20"/>
        </w:rPr>
        <w:t>)</w:t>
      </w:r>
    </w:p>
    <w:p w14:paraId="609B3E0E" w14:textId="545A2042"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December 11, 2009</w:t>
      </w:r>
      <w:r w:rsidR="00ED7217" w:rsidRPr="00DB1566">
        <w:rPr>
          <w:rFonts w:eastAsia="標楷體"/>
          <w:color w:val="000000" w:themeColor="text1"/>
          <w:sz w:val="20"/>
        </w:rPr>
        <w:t xml:space="preserve"> </w:t>
      </w:r>
      <w:r w:rsidRPr="00DB1566">
        <w:rPr>
          <w:rFonts w:eastAsia="標楷體"/>
          <w:color w:val="000000" w:themeColor="text1"/>
          <w:sz w:val="20"/>
        </w:rPr>
        <w:t>(Article 3) amended at the 57th University Council meeting</w:t>
      </w:r>
    </w:p>
    <w:p w14:paraId="53965B1E"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99</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14</w:t>
      </w:r>
      <w:r w:rsidRPr="00DB1566">
        <w:rPr>
          <w:rFonts w:eastAsia="標楷體"/>
          <w:color w:val="000000" w:themeColor="text1"/>
          <w:sz w:val="20"/>
        </w:rPr>
        <w:t>日第</w:t>
      </w:r>
      <w:r w:rsidRPr="00DB1566">
        <w:rPr>
          <w:rFonts w:eastAsia="標楷體"/>
          <w:color w:val="000000" w:themeColor="text1"/>
          <w:sz w:val="20"/>
        </w:rPr>
        <w:t>58</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6</w:t>
      </w:r>
      <w:r w:rsidRPr="00DB1566">
        <w:rPr>
          <w:rFonts w:eastAsia="標楷體"/>
          <w:color w:val="000000" w:themeColor="text1"/>
          <w:sz w:val="20"/>
        </w:rPr>
        <w:t>條</w:t>
      </w:r>
      <w:r w:rsidRPr="00DB1566">
        <w:rPr>
          <w:rFonts w:eastAsia="標楷體"/>
          <w:color w:val="000000" w:themeColor="text1"/>
          <w:sz w:val="20"/>
        </w:rPr>
        <w:t>-1)</w:t>
      </w:r>
    </w:p>
    <w:p w14:paraId="3EA89BC4" w14:textId="786F7A9E"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14, 2010</w:t>
      </w:r>
      <w:r w:rsidR="00ED7217" w:rsidRPr="00DB1566">
        <w:rPr>
          <w:rFonts w:eastAsia="標楷體"/>
          <w:color w:val="000000" w:themeColor="text1"/>
          <w:sz w:val="20"/>
        </w:rPr>
        <w:t xml:space="preserve"> </w:t>
      </w:r>
      <w:r w:rsidRPr="00DB1566">
        <w:rPr>
          <w:rFonts w:eastAsia="標楷體"/>
          <w:color w:val="000000" w:themeColor="text1"/>
          <w:sz w:val="20"/>
        </w:rPr>
        <w:t>(Article 6-1) amended at the 58th University Council meeting</w:t>
      </w:r>
    </w:p>
    <w:p w14:paraId="5EA163FE"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99</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10</w:t>
      </w:r>
      <w:r w:rsidRPr="00DB1566">
        <w:rPr>
          <w:rFonts w:eastAsia="標楷體"/>
          <w:color w:val="000000" w:themeColor="text1"/>
          <w:sz w:val="20"/>
        </w:rPr>
        <w:t>、</w:t>
      </w:r>
      <w:r w:rsidRPr="00DB1566">
        <w:rPr>
          <w:rFonts w:eastAsia="標楷體"/>
          <w:color w:val="000000" w:themeColor="text1"/>
          <w:sz w:val="20"/>
        </w:rPr>
        <w:t>13</w:t>
      </w:r>
      <w:r w:rsidRPr="00DB1566">
        <w:rPr>
          <w:rFonts w:eastAsia="標楷體"/>
          <w:color w:val="000000" w:themeColor="text1"/>
          <w:sz w:val="20"/>
        </w:rPr>
        <w:t>日第</w:t>
      </w:r>
      <w:r w:rsidRPr="00DB1566">
        <w:rPr>
          <w:rFonts w:eastAsia="標楷體"/>
          <w:color w:val="000000" w:themeColor="text1"/>
          <w:sz w:val="20"/>
        </w:rPr>
        <w:t>59</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3</w:t>
      </w:r>
      <w:r w:rsidRPr="00DB1566">
        <w:rPr>
          <w:rFonts w:eastAsia="標楷體"/>
          <w:color w:val="000000" w:themeColor="text1"/>
          <w:sz w:val="20"/>
        </w:rPr>
        <w:t>、</w:t>
      </w:r>
      <w:r w:rsidRPr="00DB1566">
        <w:rPr>
          <w:rFonts w:eastAsia="標楷體"/>
          <w:color w:val="000000" w:themeColor="text1"/>
          <w:sz w:val="20"/>
        </w:rPr>
        <w:t>6</w:t>
      </w:r>
      <w:r w:rsidRPr="00DB1566">
        <w:rPr>
          <w:rFonts w:eastAsia="標楷體"/>
          <w:color w:val="000000" w:themeColor="text1"/>
          <w:sz w:val="20"/>
        </w:rPr>
        <w:t>條、第</w:t>
      </w:r>
      <w:r w:rsidRPr="00DB1566">
        <w:rPr>
          <w:rFonts w:eastAsia="標楷體"/>
          <w:color w:val="000000" w:themeColor="text1"/>
          <w:sz w:val="20"/>
        </w:rPr>
        <w:t>6</w:t>
      </w:r>
      <w:r w:rsidRPr="00DB1566">
        <w:rPr>
          <w:rFonts w:eastAsia="標楷體"/>
          <w:color w:val="000000" w:themeColor="text1"/>
          <w:sz w:val="20"/>
        </w:rPr>
        <w:t>條</w:t>
      </w:r>
      <w:r w:rsidRPr="00DB1566">
        <w:rPr>
          <w:rFonts w:eastAsia="標楷體"/>
          <w:color w:val="000000" w:themeColor="text1"/>
          <w:sz w:val="20"/>
        </w:rPr>
        <w:t>-1)</w:t>
      </w:r>
    </w:p>
    <w:p w14:paraId="656C91A2" w14:textId="4C10E4DE"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December 10 and 13</w:t>
      </w:r>
      <w:bookmarkStart w:id="0" w:name="_GoBack"/>
      <w:bookmarkEnd w:id="0"/>
      <w:r w:rsidRPr="00DB1566">
        <w:rPr>
          <w:rFonts w:eastAsia="標楷體"/>
          <w:color w:val="000000" w:themeColor="text1"/>
          <w:sz w:val="20"/>
        </w:rPr>
        <w:t>, 2010</w:t>
      </w:r>
      <w:r w:rsidR="00ED7217" w:rsidRPr="00DB1566">
        <w:rPr>
          <w:rFonts w:eastAsia="標楷體"/>
          <w:color w:val="000000" w:themeColor="text1"/>
          <w:sz w:val="20"/>
        </w:rPr>
        <w:t xml:space="preserve"> </w:t>
      </w:r>
      <w:r w:rsidRPr="00DB1566">
        <w:rPr>
          <w:rFonts w:eastAsia="標楷體"/>
          <w:color w:val="000000" w:themeColor="text1"/>
          <w:sz w:val="20"/>
        </w:rPr>
        <w:t>(Articles 3, 6, and 6-1) amended at the 59th University Council meeting</w:t>
      </w:r>
    </w:p>
    <w:p w14:paraId="1D4FC2ED"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100</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13</w:t>
      </w:r>
      <w:r w:rsidRPr="00DB1566">
        <w:rPr>
          <w:rFonts w:eastAsia="標楷體"/>
          <w:color w:val="000000" w:themeColor="text1"/>
          <w:sz w:val="20"/>
        </w:rPr>
        <w:t>日第</w:t>
      </w:r>
      <w:r w:rsidRPr="00DB1566">
        <w:rPr>
          <w:rFonts w:eastAsia="標楷體"/>
          <w:color w:val="000000" w:themeColor="text1"/>
          <w:sz w:val="20"/>
        </w:rPr>
        <w:t>60</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4</w:t>
      </w:r>
      <w:r w:rsidRPr="00DB1566">
        <w:rPr>
          <w:rFonts w:eastAsia="標楷體"/>
          <w:color w:val="000000" w:themeColor="text1"/>
          <w:sz w:val="20"/>
        </w:rPr>
        <w:t>條</w:t>
      </w:r>
      <w:r w:rsidRPr="00DB1566">
        <w:rPr>
          <w:rFonts w:eastAsia="標楷體"/>
          <w:color w:val="000000" w:themeColor="text1"/>
          <w:sz w:val="20"/>
        </w:rPr>
        <w:t>)</w:t>
      </w:r>
    </w:p>
    <w:p w14:paraId="111BCF1E" w14:textId="20309F7E"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13, 2011</w:t>
      </w:r>
      <w:r w:rsidR="00ED7217" w:rsidRPr="00DB1566">
        <w:rPr>
          <w:rFonts w:eastAsia="標楷體"/>
          <w:color w:val="000000" w:themeColor="text1"/>
          <w:sz w:val="20"/>
        </w:rPr>
        <w:t xml:space="preserve"> </w:t>
      </w:r>
      <w:r w:rsidRPr="00DB1566">
        <w:rPr>
          <w:rFonts w:eastAsia="標楷體"/>
          <w:color w:val="000000" w:themeColor="text1"/>
          <w:sz w:val="20"/>
        </w:rPr>
        <w:t>(Article 4) amended at the 60th University Council meeting</w:t>
      </w:r>
    </w:p>
    <w:p w14:paraId="6DE55DFC"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100</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61</w:t>
      </w:r>
      <w:r w:rsidRPr="00DB1566">
        <w:rPr>
          <w:rFonts w:ascii="Times New Roman" w:hAnsi="Times New Roman"/>
          <w:color w:val="000000" w:themeColor="text1"/>
          <w:sz w:val="20"/>
          <w:szCs w:val="20"/>
        </w:rPr>
        <w:t>次校務會議延續會修正（第</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條）</w:t>
      </w:r>
    </w:p>
    <w:p w14:paraId="72E56E83" w14:textId="721242DC" w:rsidR="00153488" w:rsidRPr="00DB1566" w:rsidRDefault="00E2109F" w:rsidP="004E6458">
      <w:pPr>
        <w:pStyle w:val="10"/>
        <w:snapToGrid w:val="0"/>
        <w:spacing w:line="240" w:lineRule="auto"/>
        <w:ind w:left="1000" w:hanging="1000"/>
        <w:jc w:val="right"/>
        <w:rPr>
          <w:rFonts w:ascii="Times New Roman" w:hAnsi="Times New Roman"/>
          <w:color w:val="000000" w:themeColor="text1"/>
          <w:sz w:val="16"/>
          <w:szCs w:val="16"/>
        </w:rPr>
      </w:pPr>
      <w:r w:rsidRPr="00DB1566">
        <w:rPr>
          <w:rFonts w:ascii="Times New Roman" w:hAnsi="Times New Roman"/>
          <w:color w:val="000000" w:themeColor="text1"/>
          <w:sz w:val="20"/>
          <w:szCs w:val="20"/>
          <w:lang w:val="en-US"/>
        </w:rPr>
        <w:t>December 12, 2011</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(Articles 9 and 12) amended at the extended 61st University Council meeting</w:t>
      </w:r>
    </w:p>
    <w:p w14:paraId="1517EF8B"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101</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5</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11</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62</w:t>
      </w:r>
      <w:r w:rsidRPr="00DB1566">
        <w:rPr>
          <w:rFonts w:ascii="Times New Roman" w:hAnsi="Times New Roman"/>
          <w:color w:val="000000" w:themeColor="text1"/>
          <w:sz w:val="20"/>
          <w:szCs w:val="20"/>
        </w:rPr>
        <w:t>次校務會議修正（第</w:t>
      </w:r>
      <w:r w:rsidRPr="00DB1566">
        <w:rPr>
          <w:rFonts w:ascii="Times New Roman" w:hAnsi="Times New Roman"/>
          <w:color w:val="000000" w:themeColor="text1"/>
          <w:sz w:val="20"/>
          <w:szCs w:val="20"/>
        </w:rPr>
        <w:t>2</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13</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14</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15</w:t>
      </w:r>
      <w:r w:rsidRPr="00DB1566">
        <w:rPr>
          <w:rFonts w:ascii="Times New Roman" w:hAnsi="Times New Roman"/>
          <w:color w:val="000000" w:themeColor="text1"/>
          <w:sz w:val="20"/>
          <w:szCs w:val="20"/>
        </w:rPr>
        <w:t>條）</w:t>
      </w:r>
    </w:p>
    <w:p w14:paraId="66CD95C4" w14:textId="145741F6" w:rsidR="00153488" w:rsidRPr="00DB1566" w:rsidRDefault="00E2109F" w:rsidP="004E6458">
      <w:pPr>
        <w:pStyle w:val="10"/>
        <w:snapToGrid w:val="0"/>
        <w:spacing w:line="240" w:lineRule="auto"/>
        <w:ind w:left="1000" w:hanging="1000"/>
        <w:jc w:val="right"/>
        <w:rPr>
          <w:rFonts w:ascii="Times New Roman" w:hAnsi="Times New Roman"/>
          <w:color w:val="000000" w:themeColor="text1"/>
          <w:sz w:val="16"/>
          <w:szCs w:val="16"/>
        </w:rPr>
      </w:pPr>
      <w:r w:rsidRPr="00DB1566">
        <w:rPr>
          <w:rFonts w:ascii="Times New Roman" w:hAnsi="Times New Roman"/>
          <w:color w:val="000000" w:themeColor="text1"/>
          <w:sz w:val="20"/>
          <w:szCs w:val="20"/>
          <w:lang w:val="en-US"/>
        </w:rPr>
        <w:t>May 11, 2012</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(Articles 2, 9, 13, 14, and 15) amended at the 62nd University Council meeting</w:t>
      </w:r>
    </w:p>
    <w:p w14:paraId="1E38EF06"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101</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7</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64</w:t>
      </w:r>
      <w:r w:rsidRPr="00DB1566">
        <w:rPr>
          <w:rFonts w:ascii="Times New Roman" w:hAnsi="Times New Roman"/>
          <w:color w:val="000000" w:themeColor="text1"/>
          <w:sz w:val="20"/>
          <w:szCs w:val="20"/>
        </w:rPr>
        <w:t>次校務會議</w:t>
      </w:r>
      <w:r w:rsidRPr="00DB1566">
        <w:rPr>
          <w:rFonts w:ascii="Times New Roman" w:hAnsi="Times New Roman"/>
          <w:color w:val="000000" w:themeColor="text1"/>
          <w:sz w:val="20"/>
        </w:rPr>
        <w:t>修正</w:t>
      </w:r>
      <w:r w:rsidRPr="00DB1566">
        <w:rPr>
          <w:rFonts w:ascii="Times New Roman" w:hAnsi="Times New Roman"/>
          <w:color w:val="000000" w:themeColor="text1"/>
          <w:sz w:val="20"/>
          <w:szCs w:val="20"/>
        </w:rPr>
        <w:t>（第</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條）</w:t>
      </w:r>
    </w:p>
    <w:p w14:paraId="77F77BE8" w14:textId="3C329071" w:rsidR="00153488" w:rsidRPr="00DB1566" w:rsidRDefault="00C62C41"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lang w:val="en-US"/>
        </w:rPr>
        <w:t>December 7, 2012</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 9) amended at the 64th University Council meeting</w:t>
      </w:r>
    </w:p>
    <w:p w14:paraId="581FA017"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102</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13</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67</w:t>
      </w:r>
      <w:r w:rsidRPr="00DB1566">
        <w:rPr>
          <w:rFonts w:ascii="Times New Roman" w:hAnsi="Times New Roman"/>
          <w:color w:val="000000" w:themeColor="text1"/>
          <w:sz w:val="20"/>
          <w:szCs w:val="20"/>
        </w:rPr>
        <w:t>次校務會議</w:t>
      </w:r>
      <w:r w:rsidRPr="00DB1566">
        <w:rPr>
          <w:rFonts w:ascii="Times New Roman" w:hAnsi="Times New Roman"/>
          <w:color w:val="000000" w:themeColor="text1"/>
          <w:sz w:val="20"/>
        </w:rPr>
        <w:t>修正</w:t>
      </w:r>
      <w:r w:rsidRPr="00DB1566">
        <w:rPr>
          <w:rFonts w:ascii="Times New Roman" w:hAnsi="Times New Roman"/>
          <w:color w:val="000000" w:themeColor="text1"/>
          <w:sz w:val="20"/>
          <w:szCs w:val="20"/>
        </w:rPr>
        <w:t>（第</w:t>
      </w:r>
      <w:r w:rsidRPr="00DB1566">
        <w:rPr>
          <w:rFonts w:ascii="Times New Roman" w:hAnsi="Times New Roman"/>
          <w:color w:val="000000" w:themeColor="text1"/>
          <w:sz w:val="20"/>
        </w:rPr>
        <w:t>6</w:t>
      </w:r>
      <w:r w:rsidRPr="00DB1566">
        <w:rPr>
          <w:rFonts w:ascii="Times New Roman" w:hAnsi="Times New Roman"/>
          <w:color w:val="000000" w:themeColor="text1"/>
          <w:sz w:val="20"/>
        </w:rPr>
        <w:t>條</w:t>
      </w:r>
      <w:r w:rsidRPr="00DB1566">
        <w:rPr>
          <w:rFonts w:ascii="Times New Roman" w:hAnsi="Times New Roman"/>
          <w:color w:val="000000" w:themeColor="text1"/>
          <w:sz w:val="20"/>
        </w:rPr>
        <w:t>-1</w:t>
      </w:r>
      <w:r w:rsidRPr="00DB1566">
        <w:rPr>
          <w:rFonts w:ascii="Times New Roman" w:hAnsi="Times New Roman"/>
          <w:color w:val="000000" w:themeColor="text1"/>
          <w:sz w:val="20"/>
          <w:szCs w:val="20"/>
        </w:rPr>
        <w:t>刪除</w:t>
      </w:r>
      <w:r w:rsidRPr="00DB1566">
        <w:rPr>
          <w:rFonts w:ascii="Times New Roman" w:hAnsi="Times New Roman"/>
          <w:color w:val="000000" w:themeColor="text1"/>
          <w:sz w:val="20"/>
        </w:rPr>
        <w:t>、</w:t>
      </w:r>
      <w:r w:rsidRPr="00DB1566">
        <w:rPr>
          <w:rFonts w:ascii="Times New Roman" w:hAnsi="Times New Roman"/>
          <w:color w:val="000000" w:themeColor="text1"/>
          <w:sz w:val="20"/>
          <w:szCs w:val="20"/>
        </w:rPr>
        <w:t>第</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條）</w:t>
      </w:r>
    </w:p>
    <w:p w14:paraId="6C596F36" w14:textId="65AB976A" w:rsidR="00153488" w:rsidRPr="00DB1566" w:rsidRDefault="008623C0"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lang w:val="en-US"/>
        </w:rPr>
        <w:t>December 13, 2013</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 9) amended and (Article 6-1) revoked at the 67th University Council meeting</w:t>
      </w:r>
    </w:p>
    <w:p w14:paraId="393447A0"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103</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30</w:t>
      </w:r>
      <w:r w:rsidRPr="00DB1566">
        <w:rPr>
          <w:rFonts w:eastAsia="標楷體"/>
          <w:color w:val="000000" w:themeColor="text1"/>
          <w:sz w:val="20"/>
        </w:rPr>
        <w:t>日第</w:t>
      </w:r>
      <w:r w:rsidRPr="00DB1566">
        <w:rPr>
          <w:rFonts w:eastAsia="標楷體"/>
          <w:color w:val="000000" w:themeColor="text1"/>
          <w:sz w:val="20"/>
        </w:rPr>
        <w:t>69</w:t>
      </w:r>
      <w:r w:rsidRPr="00DB1566">
        <w:rPr>
          <w:rFonts w:eastAsia="標楷體"/>
          <w:color w:val="000000" w:themeColor="text1"/>
          <w:sz w:val="20"/>
        </w:rPr>
        <w:t>次校務會議延續會修正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3E0C553E" w14:textId="695B414E"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May 30, 2014</w:t>
      </w:r>
      <w:r w:rsidR="00ED7217" w:rsidRPr="00DB1566">
        <w:rPr>
          <w:rFonts w:eastAsia="標楷體"/>
          <w:color w:val="000000" w:themeColor="text1"/>
          <w:sz w:val="20"/>
        </w:rPr>
        <w:t xml:space="preserve"> </w:t>
      </w:r>
      <w:r w:rsidRPr="00DB1566">
        <w:rPr>
          <w:rFonts w:eastAsia="標楷體"/>
          <w:color w:val="000000" w:themeColor="text1"/>
          <w:sz w:val="20"/>
        </w:rPr>
        <w:t>(Articles 2 and 9) amended at the extended 69th University Council meeting</w:t>
      </w:r>
    </w:p>
    <w:p w14:paraId="42A4ED41"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104</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5</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8</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72</w:t>
      </w:r>
      <w:r w:rsidRPr="00DB1566">
        <w:rPr>
          <w:rFonts w:ascii="Times New Roman" w:hAnsi="Times New Roman"/>
          <w:color w:val="000000" w:themeColor="text1"/>
          <w:sz w:val="20"/>
          <w:szCs w:val="20"/>
        </w:rPr>
        <w:t>次校務會議</w:t>
      </w:r>
      <w:r w:rsidRPr="00DB1566">
        <w:rPr>
          <w:rFonts w:ascii="Times New Roman" w:hAnsi="Times New Roman"/>
          <w:color w:val="000000" w:themeColor="text1"/>
          <w:sz w:val="20"/>
        </w:rPr>
        <w:t>修正</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第</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條</w:t>
      </w:r>
      <w:r w:rsidRPr="00DB1566">
        <w:rPr>
          <w:rFonts w:ascii="Times New Roman" w:hAnsi="Times New Roman"/>
          <w:color w:val="000000" w:themeColor="text1"/>
          <w:sz w:val="20"/>
          <w:szCs w:val="20"/>
        </w:rPr>
        <w:t>)</w:t>
      </w:r>
    </w:p>
    <w:p w14:paraId="7A2EF147" w14:textId="3083F659" w:rsidR="00153488" w:rsidRPr="00DB1566" w:rsidRDefault="008623C0"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lang w:val="en-US"/>
        </w:rPr>
        <w:t>May 8, 2015</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 9) amended at the 72nd University Council meeting</w:t>
      </w:r>
    </w:p>
    <w:p w14:paraId="5C6462F6" w14:textId="77777777" w:rsidR="004E6458" w:rsidRPr="00DB1566" w:rsidRDefault="00153488" w:rsidP="004E6458">
      <w:pPr>
        <w:pStyle w:val="10"/>
        <w:snapToGrid w:val="0"/>
        <w:spacing w:line="240" w:lineRule="auto"/>
        <w:ind w:left="1000" w:hanging="1000"/>
        <w:jc w:val="right"/>
        <w:rPr>
          <w:rFonts w:ascii="Times New Roman" w:hAnsi="Times New Roman"/>
          <w:color w:val="000000" w:themeColor="text1"/>
          <w:sz w:val="20"/>
          <w:szCs w:val="20"/>
        </w:rPr>
      </w:pPr>
      <w:r w:rsidRPr="00DB1566">
        <w:rPr>
          <w:rFonts w:ascii="Times New Roman" w:hAnsi="Times New Roman"/>
          <w:color w:val="000000" w:themeColor="text1"/>
          <w:sz w:val="20"/>
          <w:szCs w:val="20"/>
        </w:rPr>
        <w:t>104</w:t>
      </w:r>
      <w:r w:rsidRPr="00DB1566">
        <w:rPr>
          <w:rFonts w:ascii="Times New Roman" w:hAnsi="Times New Roman"/>
          <w:color w:val="000000" w:themeColor="text1"/>
          <w:sz w:val="20"/>
          <w:szCs w:val="20"/>
        </w:rPr>
        <w:t>年</w:t>
      </w:r>
      <w:r w:rsidRPr="00DB1566">
        <w:rPr>
          <w:rFonts w:ascii="Times New Roman" w:hAnsi="Times New Roman"/>
          <w:color w:val="000000" w:themeColor="text1"/>
          <w:sz w:val="20"/>
          <w:szCs w:val="20"/>
        </w:rPr>
        <w:t>12</w:t>
      </w:r>
      <w:r w:rsidRPr="00DB1566">
        <w:rPr>
          <w:rFonts w:ascii="Times New Roman" w:hAnsi="Times New Roman"/>
          <w:color w:val="000000" w:themeColor="text1"/>
          <w:sz w:val="20"/>
          <w:szCs w:val="20"/>
        </w:rPr>
        <w:t>月</w:t>
      </w:r>
      <w:r w:rsidRPr="00DB1566">
        <w:rPr>
          <w:rFonts w:ascii="Times New Roman" w:hAnsi="Times New Roman"/>
          <w:color w:val="000000" w:themeColor="text1"/>
          <w:sz w:val="20"/>
          <w:szCs w:val="20"/>
        </w:rPr>
        <w:t>11</w:t>
      </w:r>
      <w:r w:rsidRPr="00DB1566">
        <w:rPr>
          <w:rFonts w:ascii="Times New Roman" w:hAnsi="Times New Roman"/>
          <w:color w:val="000000" w:themeColor="text1"/>
          <w:sz w:val="20"/>
          <w:szCs w:val="20"/>
        </w:rPr>
        <w:t>日第</w:t>
      </w:r>
      <w:r w:rsidRPr="00DB1566">
        <w:rPr>
          <w:rFonts w:ascii="Times New Roman" w:hAnsi="Times New Roman"/>
          <w:color w:val="000000" w:themeColor="text1"/>
          <w:sz w:val="20"/>
          <w:szCs w:val="20"/>
        </w:rPr>
        <w:t>73</w:t>
      </w:r>
      <w:r w:rsidRPr="00DB1566">
        <w:rPr>
          <w:rFonts w:ascii="Times New Roman" w:hAnsi="Times New Roman"/>
          <w:color w:val="000000" w:themeColor="text1"/>
          <w:sz w:val="20"/>
          <w:szCs w:val="20"/>
        </w:rPr>
        <w:t>次校務會議修正</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第</w:t>
      </w:r>
      <w:r w:rsidRPr="00DB1566">
        <w:rPr>
          <w:rFonts w:ascii="Times New Roman" w:hAnsi="Times New Roman"/>
          <w:color w:val="000000" w:themeColor="text1"/>
          <w:sz w:val="20"/>
          <w:szCs w:val="20"/>
        </w:rPr>
        <w:t>9</w:t>
      </w:r>
      <w:r w:rsidRPr="00DB1566">
        <w:rPr>
          <w:rFonts w:ascii="Times New Roman" w:hAnsi="Times New Roman"/>
          <w:color w:val="000000" w:themeColor="text1"/>
          <w:sz w:val="20"/>
          <w:szCs w:val="20"/>
        </w:rPr>
        <w:t>、</w:t>
      </w:r>
      <w:r w:rsidRPr="00DB1566">
        <w:rPr>
          <w:rFonts w:ascii="Times New Roman" w:hAnsi="Times New Roman"/>
          <w:color w:val="000000" w:themeColor="text1"/>
          <w:sz w:val="20"/>
          <w:szCs w:val="20"/>
        </w:rPr>
        <w:t>13</w:t>
      </w:r>
      <w:r w:rsidRPr="00DB1566">
        <w:rPr>
          <w:rFonts w:ascii="Times New Roman" w:hAnsi="Times New Roman"/>
          <w:color w:val="000000" w:themeColor="text1"/>
          <w:sz w:val="20"/>
          <w:szCs w:val="20"/>
        </w:rPr>
        <w:t>條</w:t>
      </w:r>
      <w:r w:rsidRPr="00DB1566">
        <w:rPr>
          <w:rFonts w:ascii="Times New Roman" w:hAnsi="Times New Roman"/>
          <w:color w:val="000000" w:themeColor="text1"/>
          <w:sz w:val="20"/>
          <w:szCs w:val="20"/>
        </w:rPr>
        <w:t>)</w:t>
      </w:r>
    </w:p>
    <w:p w14:paraId="75EB351D" w14:textId="63980F2C" w:rsidR="00153488" w:rsidRPr="00DB1566" w:rsidRDefault="00E2109F" w:rsidP="004E6458">
      <w:pPr>
        <w:pStyle w:val="10"/>
        <w:snapToGrid w:val="0"/>
        <w:spacing w:line="240" w:lineRule="auto"/>
        <w:ind w:left="1000" w:hanging="1000"/>
        <w:jc w:val="right"/>
        <w:rPr>
          <w:rFonts w:ascii="Times New Roman" w:hAnsi="Times New Roman"/>
          <w:color w:val="000000" w:themeColor="text1"/>
        </w:rPr>
      </w:pPr>
      <w:r w:rsidRPr="00DB1566">
        <w:rPr>
          <w:rFonts w:ascii="Times New Roman" w:hAnsi="Times New Roman"/>
          <w:color w:val="000000" w:themeColor="text1"/>
          <w:sz w:val="20"/>
          <w:szCs w:val="20"/>
          <w:lang w:val="en-US"/>
        </w:rPr>
        <w:t>December 11, 2015</w:t>
      </w:r>
      <w:r w:rsidR="00ED7217" w:rsidRPr="00DB1566">
        <w:rPr>
          <w:rFonts w:ascii="Times New Roman" w:hAnsi="Times New Roman"/>
          <w:color w:val="000000" w:themeColor="text1"/>
          <w:sz w:val="20"/>
          <w:szCs w:val="20"/>
          <w:lang w:val="en-US"/>
        </w:rPr>
        <w:t xml:space="preserve"> </w:t>
      </w:r>
      <w:r w:rsidRPr="00DB1566">
        <w:rPr>
          <w:rFonts w:ascii="Times New Roman" w:hAnsi="Times New Roman"/>
          <w:color w:val="000000" w:themeColor="text1"/>
          <w:sz w:val="20"/>
          <w:szCs w:val="20"/>
          <w:lang w:val="en-US"/>
        </w:rPr>
        <w:t>(Articles 9 and 13) amended at the 73rd University Council meeting</w:t>
      </w:r>
    </w:p>
    <w:p w14:paraId="6171D687" w14:textId="77777777" w:rsidR="004E6458" w:rsidRPr="00DB1566" w:rsidRDefault="00153488" w:rsidP="004E6458">
      <w:pPr>
        <w:snapToGrid w:val="0"/>
        <w:jc w:val="right"/>
        <w:rPr>
          <w:rFonts w:eastAsia="標楷體"/>
          <w:color w:val="000000" w:themeColor="text1"/>
          <w:sz w:val="20"/>
        </w:rPr>
      </w:pPr>
      <w:r w:rsidRPr="00DB1566">
        <w:rPr>
          <w:rFonts w:eastAsia="標楷體"/>
          <w:color w:val="000000" w:themeColor="text1"/>
          <w:sz w:val="20"/>
        </w:rPr>
        <w:t>106</w:t>
      </w:r>
      <w:r w:rsidRPr="00DB1566">
        <w:rPr>
          <w:rFonts w:eastAsia="標楷體"/>
          <w:color w:val="000000" w:themeColor="text1"/>
          <w:sz w:val="20"/>
        </w:rPr>
        <w:t>年</w:t>
      </w:r>
      <w:r w:rsidRPr="00DB1566">
        <w:rPr>
          <w:rFonts w:eastAsia="標楷體"/>
          <w:color w:val="000000" w:themeColor="text1"/>
          <w:sz w:val="20"/>
        </w:rPr>
        <w:t>5</w:t>
      </w:r>
      <w:r w:rsidRPr="00DB1566">
        <w:rPr>
          <w:rFonts w:eastAsia="標楷體"/>
          <w:color w:val="000000" w:themeColor="text1"/>
          <w:sz w:val="20"/>
        </w:rPr>
        <w:t>月</w:t>
      </w:r>
      <w:r w:rsidRPr="00DB1566">
        <w:rPr>
          <w:rFonts w:eastAsia="標楷體"/>
          <w:color w:val="000000" w:themeColor="text1"/>
          <w:sz w:val="20"/>
        </w:rPr>
        <w:t>12</w:t>
      </w:r>
      <w:r w:rsidRPr="00DB1566">
        <w:rPr>
          <w:rFonts w:eastAsia="標楷體"/>
          <w:color w:val="000000" w:themeColor="text1"/>
          <w:sz w:val="20"/>
        </w:rPr>
        <w:t>日第</w:t>
      </w:r>
      <w:r w:rsidRPr="00DB1566">
        <w:rPr>
          <w:rFonts w:eastAsia="標楷體"/>
          <w:color w:val="000000" w:themeColor="text1"/>
          <w:sz w:val="20"/>
        </w:rPr>
        <w:t>77</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9</w:t>
      </w:r>
      <w:r w:rsidRPr="00DB1566">
        <w:rPr>
          <w:rFonts w:eastAsia="標楷體"/>
          <w:color w:val="000000" w:themeColor="text1"/>
          <w:sz w:val="20"/>
        </w:rPr>
        <w:t>、</w:t>
      </w:r>
      <w:r w:rsidRPr="00DB1566">
        <w:rPr>
          <w:rFonts w:eastAsia="標楷體"/>
          <w:color w:val="000000" w:themeColor="text1"/>
          <w:sz w:val="20"/>
        </w:rPr>
        <w:t>10</w:t>
      </w:r>
      <w:r w:rsidRPr="00DB1566">
        <w:rPr>
          <w:rFonts w:eastAsia="標楷體"/>
          <w:color w:val="000000" w:themeColor="text1"/>
          <w:sz w:val="20"/>
        </w:rPr>
        <w:t>條</w:t>
      </w:r>
      <w:r w:rsidRPr="00DB1566">
        <w:rPr>
          <w:rFonts w:eastAsia="標楷體"/>
          <w:color w:val="000000" w:themeColor="text1"/>
          <w:sz w:val="20"/>
        </w:rPr>
        <w:t>)</w:t>
      </w:r>
    </w:p>
    <w:p w14:paraId="5B619158" w14:textId="7F86CA20" w:rsidR="00153488" w:rsidRPr="00DB1566" w:rsidRDefault="00E2109F" w:rsidP="004E6458">
      <w:pPr>
        <w:snapToGrid w:val="0"/>
        <w:jc w:val="right"/>
        <w:rPr>
          <w:rFonts w:eastAsia="標楷體"/>
          <w:color w:val="000000" w:themeColor="text1"/>
          <w:sz w:val="20"/>
        </w:rPr>
      </w:pPr>
      <w:r w:rsidRPr="00DB1566">
        <w:rPr>
          <w:rFonts w:eastAsia="標楷體"/>
          <w:color w:val="000000" w:themeColor="text1"/>
          <w:sz w:val="20"/>
        </w:rPr>
        <w:t>May 12, 2017</w:t>
      </w:r>
      <w:r w:rsidR="00ED7217" w:rsidRPr="00DB1566">
        <w:rPr>
          <w:rFonts w:eastAsia="標楷體"/>
          <w:color w:val="000000" w:themeColor="text1"/>
          <w:sz w:val="20"/>
        </w:rPr>
        <w:t xml:space="preserve"> </w:t>
      </w:r>
      <w:r w:rsidRPr="00DB1566">
        <w:rPr>
          <w:rFonts w:eastAsia="標楷體"/>
          <w:color w:val="000000" w:themeColor="text1"/>
          <w:sz w:val="20"/>
        </w:rPr>
        <w:t>(Articles 9 and 10) amended at the 77th University Council meeting</w:t>
      </w:r>
    </w:p>
    <w:p w14:paraId="0316AC94" w14:textId="77777777" w:rsidR="004E6458" w:rsidRPr="00DB1566" w:rsidRDefault="00153488" w:rsidP="004E6458">
      <w:pPr>
        <w:snapToGrid w:val="0"/>
        <w:jc w:val="right"/>
        <w:rPr>
          <w:rFonts w:eastAsia="標楷體"/>
          <w:color w:val="000000" w:themeColor="text1"/>
          <w:sz w:val="20"/>
        </w:rPr>
      </w:pPr>
      <w:r w:rsidRPr="00DB1566">
        <w:rPr>
          <w:rFonts w:eastAsia="標楷體"/>
          <w:color w:val="000000" w:themeColor="text1"/>
          <w:sz w:val="20"/>
        </w:rPr>
        <w:t>106</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8</w:t>
      </w:r>
      <w:r w:rsidRPr="00DB1566">
        <w:rPr>
          <w:rFonts w:eastAsia="標楷體"/>
          <w:color w:val="000000" w:themeColor="text1"/>
          <w:sz w:val="20"/>
        </w:rPr>
        <w:t>日第</w:t>
      </w:r>
      <w:r w:rsidRPr="00DB1566">
        <w:rPr>
          <w:rFonts w:eastAsia="標楷體"/>
          <w:color w:val="000000" w:themeColor="text1"/>
          <w:sz w:val="20"/>
        </w:rPr>
        <w:t>79</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3</w:t>
      </w:r>
      <w:r w:rsidRPr="00DB1566">
        <w:rPr>
          <w:rFonts w:eastAsia="標楷體"/>
          <w:color w:val="000000" w:themeColor="text1"/>
          <w:sz w:val="20"/>
        </w:rPr>
        <w:t>、</w:t>
      </w:r>
      <w:r w:rsidRPr="00DB1566">
        <w:rPr>
          <w:rFonts w:eastAsia="標楷體"/>
          <w:color w:val="000000" w:themeColor="text1"/>
          <w:sz w:val="20"/>
        </w:rPr>
        <w:t>4</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4911C7E4" w14:textId="6CB6870A" w:rsidR="00153488" w:rsidRPr="00DB1566" w:rsidRDefault="00E2109F" w:rsidP="004E6458">
      <w:pPr>
        <w:snapToGrid w:val="0"/>
        <w:jc w:val="right"/>
        <w:rPr>
          <w:rFonts w:eastAsia="標楷體"/>
          <w:color w:val="000000" w:themeColor="text1"/>
          <w:sz w:val="20"/>
        </w:rPr>
      </w:pPr>
      <w:r w:rsidRPr="00DB1566">
        <w:rPr>
          <w:rFonts w:eastAsia="標楷體"/>
          <w:color w:val="000000" w:themeColor="text1"/>
          <w:sz w:val="20"/>
        </w:rPr>
        <w:t>December 8, 2017</w:t>
      </w:r>
      <w:r w:rsidR="00ED7217" w:rsidRPr="00DB1566">
        <w:rPr>
          <w:rFonts w:eastAsia="標楷體"/>
          <w:color w:val="000000" w:themeColor="text1"/>
          <w:sz w:val="20"/>
        </w:rPr>
        <w:t xml:space="preserve"> </w:t>
      </w:r>
      <w:r w:rsidRPr="00DB1566">
        <w:rPr>
          <w:rFonts w:eastAsia="標楷體"/>
          <w:color w:val="000000" w:themeColor="text1"/>
          <w:sz w:val="20"/>
        </w:rPr>
        <w:t>(Articles 3, 4, and 9) amended at the 79th University Council meeting</w:t>
      </w:r>
    </w:p>
    <w:p w14:paraId="43C4AA84" w14:textId="77777777" w:rsidR="004E6458" w:rsidRPr="00DB1566" w:rsidRDefault="00153488" w:rsidP="004E6458">
      <w:pPr>
        <w:snapToGrid w:val="0"/>
        <w:ind w:left="1000" w:hangingChars="500" w:hanging="1000"/>
        <w:jc w:val="right"/>
        <w:rPr>
          <w:rFonts w:eastAsia="標楷體"/>
          <w:color w:val="000000" w:themeColor="text1"/>
          <w:sz w:val="20"/>
        </w:rPr>
      </w:pPr>
      <w:r w:rsidRPr="00DB1566">
        <w:rPr>
          <w:rFonts w:eastAsia="標楷體"/>
          <w:color w:val="000000" w:themeColor="text1"/>
          <w:sz w:val="20"/>
        </w:rPr>
        <w:t>107</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7</w:t>
      </w:r>
      <w:r w:rsidRPr="00DB1566">
        <w:rPr>
          <w:rFonts w:eastAsia="標楷體"/>
          <w:color w:val="000000" w:themeColor="text1"/>
          <w:sz w:val="20"/>
        </w:rPr>
        <w:t>日第</w:t>
      </w:r>
      <w:r w:rsidRPr="00DB1566">
        <w:rPr>
          <w:rFonts w:eastAsia="標楷體"/>
          <w:color w:val="000000" w:themeColor="text1"/>
          <w:sz w:val="20"/>
        </w:rPr>
        <w:t>83</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4A2E5762" w14:textId="6971A614" w:rsidR="00153488" w:rsidRPr="00DB1566" w:rsidRDefault="00E2109F" w:rsidP="004E6458">
      <w:pPr>
        <w:snapToGrid w:val="0"/>
        <w:ind w:left="1000" w:hangingChars="500" w:hanging="1000"/>
        <w:jc w:val="right"/>
        <w:rPr>
          <w:rFonts w:eastAsia="標楷體"/>
          <w:color w:val="000000" w:themeColor="text1"/>
          <w:sz w:val="20"/>
        </w:rPr>
      </w:pPr>
      <w:r w:rsidRPr="00DB1566">
        <w:rPr>
          <w:rFonts w:eastAsia="標楷體"/>
          <w:color w:val="000000" w:themeColor="text1"/>
          <w:sz w:val="20"/>
        </w:rPr>
        <w:t>December 7, 2018</w:t>
      </w:r>
      <w:r w:rsidR="00ED7217" w:rsidRPr="00DB1566">
        <w:rPr>
          <w:rFonts w:eastAsia="標楷體"/>
          <w:color w:val="000000" w:themeColor="text1"/>
          <w:sz w:val="20"/>
        </w:rPr>
        <w:t xml:space="preserve"> </w:t>
      </w:r>
      <w:r w:rsidRPr="00DB1566">
        <w:rPr>
          <w:rFonts w:eastAsia="標楷體"/>
          <w:color w:val="000000" w:themeColor="text1"/>
          <w:sz w:val="20"/>
        </w:rPr>
        <w:t>(Articles 2 and 9) amended at the 83rd University Council meeting</w:t>
      </w:r>
    </w:p>
    <w:p w14:paraId="7177AD37" w14:textId="77777777" w:rsidR="004E6458" w:rsidRPr="00DB1566" w:rsidRDefault="00153488"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108</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20</w:t>
      </w:r>
      <w:r w:rsidRPr="00DB1566">
        <w:rPr>
          <w:rFonts w:eastAsia="標楷體"/>
          <w:color w:val="000000" w:themeColor="text1"/>
          <w:sz w:val="20"/>
        </w:rPr>
        <w:t>日第</w:t>
      </w:r>
      <w:r w:rsidRPr="00DB1566">
        <w:rPr>
          <w:rFonts w:eastAsia="標楷體"/>
          <w:color w:val="000000" w:themeColor="text1"/>
          <w:sz w:val="20"/>
        </w:rPr>
        <w:t>87</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6</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6EDB3778" w14:textId="57339892" w:rsidR="00153488" w:rsidRPr="00DB1566" w:rsidRDefault="00E2109F"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December 20, 2019</w:t>
      </w:r>
      <w:r w:rsidR="00ED7217" w:rsidRPr="00DB1566">
        <w:rPr>
          <w:rFonts w:eastAsia="標楷體"/>
          <w:color w:val="000000" w:themeColor="text1"/>
          <w:sz w:val="20"/>
        </w:rPr>
        <w:t xml:space="preserve"> </w:t>
      </w:r>
      <w:r w:rsidRPr="00DB1566">
        <w:rPr>
          <w:rFonts w:eastAsia="標楷體"/>
          <w:color w:val="000000" w:themeColor="text1"/>
          <w:sz w:val="20"/>
        </w:rPr>
        <w:t>(Articles 6 and 9) amended at the 87th University Council meeting</w:t>
      </w:r>
    </w:p>
    <w:p w14:paraId="46AA5CD8" w14:textId="77777777" w:rsidR="004E6458" w:rsidRPr="00DB1566" w:rsidRDefault="00153488"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109</w:t>
      </w:r>
      <w:r w:rsidRPr="00DB1566">
        <w:rPr>
          <w:rFonts w:eastAsia="標楷體"/>
          <w:color w:val="000000" w:themeColor="text1"/>
          <w:sz w:val="20"/>
        </w:rPr>
        <w:t>年</w:t>
      </w:r>
      <w:r w:rsidRPr="00DB1566">
        <w:rPr>
          <w:rFonts w:eastAsia="標楷體"/>
          <w:color w:val="000000" w:themeColor="text1"/>
          <w:sz w:val="20"/>
        </w:rPr>
        <w:t>6</w:t>
      </w:r>
      <w:r w:rsidRPr="00DB1566">
        <w:rPr>
          <w:rFonts w:eastAsia="標楷體"/>
          <w:color w:val="000000" w:themeColor="text1"/>
          <w:sz w:val="20"/>
        </w:rPr>
        <w:t>月</w:t>
      </w:r>
      <w:r w:rsidRPr="00DB1566">
        <w:rPr>
          <w:rFonts w:eastAsia="標楷體"/>
          <w:color w:val="000000" w:themeColor="text1"/>
          <w:sz w:val="20"/>
        </w:rPr>
        <w:t>5</w:t>
      </w:r>
      <w:r w:rsidRPr="00DB1566">
        <w:rPr>
          <w:rFonts w:eastAsia="標楷體"/>
          <w:color w:val="000000" w:themeColor="text1"/>
          <w:sz w:val="20"/>
        </w:rPr>
        <w:t>日第</w:t>
      </w:r>
      <w:r w:rsidRPr="00DB1566">
        <w:rPr>
          <w:rFonts w:eastAsia="標楷體"/>
          <w:color w:val="000000" w:themeColor="text1"/>
          <w:sz w:val="20"/>
        </w:rPr>
        <w:t>89</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6AEBF3DF" w14:textId="1997A012" w:rsidR="00153488" w:rsidRPr="00DB1566" w:rsidRDefault="00E2109F"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June 5, 2020</w:t>
      </w:r>
      <w:r w:rsidR="00ED7217" w:rsidRPr="00DB1566">
        <w:rPr>
          <w:rFonts w:eastAsia="標楷體"/>
          <w:color w:val="000000" w:themeColor="text1"/>
          <w:sz w:val="20"/>
        </w:rPr>
        <w:t xml:space="preserve"> </w:t>
      </w:r>
      <w:r w:rsidRPr="00DB1566">
        <w:rPr>
          <w:rFonts w:eastAsia="標楷體"/>
          <w:color w:val="000000" w:themeColor="text1"/>
          <w:sz w:val="20"/>
        </w:rPr>
        <w:t>(Article 9) amended at the 89th University Council meeting</w:t>
      </w:r>
    </w:p>
    <w:p w14:paraId="100ADEB9" w14:textId="77777777" w:rsidR="004E6458" w:rsidRPr="00DB1566" w:rsidRDefault="00153488"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110</w:t>
      </w:r>
      <w:r w:rsidRPr="00DB1566">
        <w:rPr>
          <w:rFonts w:eastAsia="標楷體"/>
          <w:color w:val="000000" w:themeColor="text1"/>
          <w:sz w:val="20"/>
        </w:rPr>
        <w:t>年</w:t>
      </w:r>
      <w:r w:rsidRPr="00DB1566">
        <w:rPr>
          <w:rFonts w:eastAsia="標楷體"/>
          <w:color w:val="000000" w:themeColor="text1"/>
          <w:sz w:val="20"/>
        </w:rPr>
        <w:t>6</w:t>
      </w:r>
      <w:r w:rsidRPr="00DB1566">
        <w:rPr>
          <w:rFonts w:eastAsia="標楷體"/>
          <w:color w:val="000000" w:themeColor="text1"/>
          <w:sz w:val="20"/>
        </w:rPr>
        <w:t>月</w:t>
      </w:r>
      <w:r w:rsidRPr="00DB1566">
        <w:rPr>
          <w:rFonts w:eastAsia="標楷體"/>
          <w:color w:val="000000" w:themeColor="text1"/>
          <w:sz w:val="20"/>
        </w:rPr>
        <w:t>4</w:t>
      </w:r>
      <w:r w:rsidRPr="00DB1566">
        <w:rPr>
          <w:rFonts w:eastAsia="標楷體"/>
          <w:color w:val="000000" w:themeColor="text1"/>
          <w:sz w:val="20"/>
        </w:rPr>
        <w:t>日第</w:t>
      </w:r>
      <w:r w:rsidRPr="00DB1566">
        <w:rPr>
          <w:rFonts w:eastAsia="標楷體"/>
          <w:color w:val="000000" w:themeColor="text1"/>
          <w:sz w:val="20"/>
        </w:rPr>
        <w:t>93</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78F7A6D2" w14:textId="23F0025E" w:rsidR="00153488" w:rsidRPr="00DB1566" w:rsidRDefault="00E2109F" w:rsidP="004E6458">
      <w:pPr>
        <w:adjustRightInd w:val="0"/>
        <w:snapToGrid w:val="0"/>
        <w:ind w:left="800" w:hangingChars="400" w:hanging="800"/>
        <w:jc w:val="right"/>
        <w:rPr>
          <w:rFonts w:eastAsia="標楷體"/>
          <w:color w:val="000000" w:themeColor="text1"/>
          <w:sz w:val="20"/>
        </w:rPr>
      </w:pPr>
      <w:r w:rsidRPr="00DB1566">
        <w:rPr>
          <w:rFonts w:eastAsia="標楷體"/>
          <w:color w:val="000000" w:themeColor="text1"/>
          <w:sz w:val="20"/>
        </w:rPr>
        <w:t>June 4, 2021</w:t>
      </w:r>
      <w:r w:rsidR="00ED7217" w:rsidRPr="00DB1566">
        <w:rPr>
          <w:rFonts w:eastAsia="標楷體"/>
          <w:color w:val="000000" w:themeColor="text1"/>
          <w:sz w:val="20"/>
        </w:rPr>
        <w:t xml:space="preserve"> </w:t>
      </w:r>
      <w:r w:rsidRPr="00DB1566">
        <w:rPr>
          <w:rFonts w:eastAsia="標楷體"/>
          <w:color w:val="000000" w:themeColor="text1"/>
          <w:sz w:val="20"/>
        </w:rPr>
        <w:t>(Article 9) amended at the 93rd University Council meeting</w:t>
      </w:r>
    </w:p>
    <w:p w14:paraId="52AC1CB7" w14:textId="77777777" w:rsidR="004E6458" w:rsidRPr="00DB1566" w:rsidRDefault="00153488" w:rsidP="004E6458">
      <w:pPr>
        <w:adjustRightInd w:val="0"/>
        <w:snapToGrid w:val="0"/>
        <w:jc w:val="right"/>
        <w:rPr>
          <w:rFonts w:eastAsia="標楷體"/>
          <w:color w:val="000000" w:themeColor="text1"/>
          <w:sz w:val="20"/>
        </w:rPr>
      </w:pPr>
      <w:r w:rsidRPr="00DB1566">
        <w:rPr>
          <w:rFonts w:eastAsia="標楷體"/>
          <w:color w:val="000000" w:themeColor="text1"/>
          <w:sz w:val="20"/>
        </w:rPr>
        <w:t>110</w:t>
      </w:r>
      <w:r w:rsidRPr="00DB1566">
        <w:rPr>
          <w:rFonts w:eastAsia="標楷體"/>
          <w:color w:val="000000" w:themeColor="text1"/>
          <w:sz w:val="20"/>
        </w:rPr>
        <w:t>年</w:t>
      </w:r>
      <w:r w:rsidRPr="00DB1566">
        <w:rPr>
          <w:rFonts w:eastAsia="標楷體"/>
          <w:color w:val="000000" w:themeColor="text1"/>
          <w:sz w:val="20"/>
        </w:rPr>
        <w:t>12</w:t>
      </w:r>
      <w:r w:rsidRPr="00DB1566">
        <w:rPr>
          <w:rFonts w:eastAsia="標楷體"/>
          <w:color w:val="000000" w:themeColor="text1"/>
          <w:sz w:val="20"/>
        </w:rPr>
        <w:t>月</w:t>
      </w:r>
      <w:r w:rsidRPr="00DB1566">
        <w:rPr>
          <w:rFonts w:eastAsia="標楷體"/>
          <w:color w:val="000000" w:themeColor="text1"/>
          <w:sz w:val="20"/>
        </w:rPr>
        <w:t>24</w:t>
      </w:r>
      <w:r w:rsidRPr="00DB1566">
        <w:rPr>
          <w:rFonts w:eastAsia="標楷體"/>
          <w:color w:val="000000" w:themeColor="text1"/>
          <w:sz w:val="20"/>
        </w:rPr>
        <w:t>日第</w:t>
      </w:r>
      <w:r w:rsidRPr="00DB1566">
        <w:rPr>
          <w:rFonts w:eastAsia="標楷體"/>
          <w:color w:val="000000" w:themeColor="text1"/>
          <w:sz w:val="20"/>
        </w:rPr>
        <w:t>95</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4</w:t>
      </w:r>
      <w:r w:rsidRPr="00DB1566">
        <w:rPr>
          <w:rFonts w:eastAsia="標楷體"/>
          <w:color w:val="000000" w:themeColor="text1"/>
          <w:sz w:val="20"/>
        </w:rPr>
        <w:t>條</w:t>
      </w:r>
      <w:r w:rsidRPr="00DB1566">
        <w:rPr>
          <w:rFonts w:eastAsia="標楷體"/>
          <w:color w:val="000000" w:themeColor="text1"/>
          <w:sz w:val="20"/>
        </w:rPr>
        <w:t>)</w:t>
      </w:r>
    </w:p>
    <w:p w14:paraId="4FC7CD62" w14:textId="551A1D5D" w:rsidR="00153488"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December 24, 2021</w:t>
      </w:r>
      <w:r w:rsidR="00ED7217" w:rsidRPr="00DB1566">
        <w:rPr>
          <w:rFonts w:eastAsia="標楷體"/>
          <w:color w:val="000000" w:themeColor="text1"/>
          <w:sz w:val="20"/>
        </w:rPr>
        <w:t xml:space="preserve"> </w:t>
      </w:r>
      <w:r w:rsidRPr="00DB1566">
        <w:rPr>
          <w:rFonts w:eastAsia="標楷體"/>
          <w:color w:val="000000" w:themeColor="text1"/>
          <w:sz w:val="20"/>
        </w:rPr>
        <w:t>(Articles 2 and 4) amended at the 95th University Council meeting</w:t>
      </w:r>
    </w:p>
    <w:p w14:paraId="2B9D18C8" w14:textId="77777777" w:rsidR="004E6458" w:rsidRPr="00DB1566" w:rsidRDefault="006F6AAA" w:rsidP="004E6458">
      <w:pPr>
        <w:adjustRightInd w:val="0"/>
        <w:snapToGrid w:val="0"/>
        <w:jc w:val="right"/>
        <w:rPr>
          <w:rFonts w:eastAsia="標楷體"/>
          <w:color w:val="000000" w:themeColor="text1"/>
          <w:sz w:val="20"/>
        </w:rPr>
      </w:pPr>
      <w:r w:rsidRPr="00DB1566">
        <w:rPr>
          <w:rFonts w:eastAsia="標楷體"/>
          <w:color w:val="000000" w:themeColor="text1"/>
          <w:sz w:val="20"/>
        </w:rPr>
        <w:t>112</w:t>
      </w:r>
      <w:r w:rsidRPr="00DB1566">
        <w:rPr>
          <w:rFonts w:eastAsia="標楷體"/>
          <w:color w:val="000000" w:themeColor="text1"/>
          <w:sz w:val="20"/>
        </w:rPr>
        <w:t>年</w:t>
      </w:r>
      <w:r w:rsidRPr="00DB1566">
        <w:rPr>
          <w:rFonts w:eastAsia="標楷體"/>
          <w:color w:val="000000" w:themeColor="text1"/>
          <w:sz w:val="20"/>
        </w:rPr>
        <w:t>4</w:t>
      </w:r>
      <w:r w:rsidRPr="00DB1566">
        <w:rPr>
          <w:rFonts w:eastAsia="標楷體"/>
          <w:color w:val="000000" w:themeColor="text1"/>
          <w:sz w:val="20"/>
        </w:rPr>
        <w:t>月</w:t>
      </w:r>
      <w:r w:rsidRPr="00DB1566">
        <w:rPr>
          <w:rFonts w:eastAsia="標楷體"/>
          <w:color w:val="000000" w:themeColor="text1"/>
          <w:sz w:val="20"/>
        </w:rPr>
        <w:t>21</w:t>
      </w:r>
      <w:r w:rsidRPr="00DB1566">
        <w:rPr>
          <w:rFonts w:eastAsia="標楷體"/>
          <w:color w:val="000000" w:themeColor="text1"/>
          <w:sz w:val="20"/>
        </w:rPr>
        <w:t>日第</w:t>
      </w:r>
      <w:r w:rsidRPr="00DB1566">
        <w:rPr>
          <w:rFonts w:eastAsia="標楷體"/>
          <w:color w:val="000000" w:themeColor="text1"/>
          <w:sz w:val="20"/>
        </w:rPr>
        <w:t>100</w:t>
      </w:r>
      <w:r w:rsidRPr="00DB1566">
        <w:rPr>
          <w:rFonts w:eastAsia="標楷體"/>
          <w:color w:val="000000" w:themeColor="text1"/>
          <w:sz w:val="20"/>
        </w:rPr>
        <w:t>次校務會議修正</w:t>
      </w:r>
      <w:r w:rsidRPr="00DB1566">
        <w:rPr>
          <w:rFonts w:eastAsia="標楷體"/>
          <w:color w:val="000000" w:themeColor="text1"/>
          <w:sz w:val="20"/>
        </w:rPr>
        <w:t>(</w:t>
      </w:r>
      <w:r w:rsidRPr="00DB1566">
        <w:rPr>
          <w:rFonts w:eastAsia="標楷體"/>
          <w:color w:val="000000" w:themeColor="text1"/>
          <w:sz w:val="20"/>
        </w:rPr>
        <w:t>第</w:t>
      </w:r>
      <w:r w:rsidRPr="00DB1566">
        <w:rPr>
          <w:rFonts w:eastAsia="標楷體"/>
          <w:color w:val="000000" w:themeColor="text1"/>
          <w:sz w:val="20"/>
        </w:rPr>
        <w:t>2</w:t>
      </w:r>
      <w:r w:rsidRPr="00DB1566">
        <w:rPr>
          <w:rFonts w:eastAsia="標楷體"/>
          <w:color w:val="000000" w:themeColor="text1"/>
          <w:sz w:val="20"/>
        </w:rPr>
        <w:t>、</w:t>
      </w:r>
      <w:r w:rsidRPr="00DB1566">
        <w:rPr>
          <w:rFonts w:eastAsia="標楷體"/>
          <w:color w:val="000000" w:themeColor="text1"/>
          <w:sz w:val="20"/>
        </w:rPr>
        <w:t>4</w:t>
      </w:r>
      <w:r w:rsidRPr="00DB1566">
        <w:rPr>
          <w:rFonts w:eastAsia="標楷體"/>
          <w:color w:val="000000" w:themeColor="text1"/>
          <w:sz w:val="20"/>
        </w:rPr>
        <w:t>、</w:t>
      </w:r>
      <w:r w:rsidRPr="00DB1566">
        <w:rPr>
          <w:rFonts w:eastAsia="標楷體"/>
          <w:color w:val="000000" w:themeColor="text1"/>
          <w:sz w:val="20"/>
        </w:rPr>
        <w:t>6</w:t>
      </w:r>
      <w:r w:rsidRPr="00DB1566">
        <w:rPr>
          <w:rFonts w:eastAsia="標楷體"/>
          <w:color w:val="000000" w:themeColor="text1"/>
          <w:sz w:val="20"/>
        </w:rPr>
        <w:t>、</w:t>
      </w:r>
      <w:r w:rsidRPr="00DB1566">
        <w:rPr>
          <w:rFonts w:eastAsia="標楷體"/>
          <w:color w:val="000000" w:themeColor="text1"/>
          <w:sz w:val="20"/>
        </w:rPr>
        <w:t>9</w:t>
      </w:r>
      <w:r w:rsidRPr="00DB1566">
        <w:rPr>
          <w:rFonts w:eastAsia="標楷體"/>
          <w:color w:val="000000" w:themeColor="text1"/>
          <w:sz w:val="20"/>
        </w:rPr>
        <w:t>條</w:t>
      </w:r>
      <w:r w:rsidRPr="00DB1566">
        <w:rPr>
          <w:rFonts w:eastAsia="標楷體"/>
          <w:color w:val="000000" w:themeColor="text1"/>
          <w:sz w:val="20"/>
        </w:rPr>
        <w:t>)</w:t>
      </w:r>
    </w:p>
    <w:p w14:paraId="3F1F159F" w14:textId="27F7A2FF" w:rsidR="006F6AAA" w:rsidRPr="00DB1566" w:rsidRDefault="00E2109F" w:rsidP="004E6458">
      <w:pPr>
        <w:adjustRightInd w:val="0"/>
        <w:snapToGrid w:val="0"/>
        <w:jc w:val="right"/>
        <w:rPr>
          <w:rFonts w:eastAsia="標楷體"/>
          <w:color w:val="000000" w:themeColor="text1"/>
          <w:sz w:val="20"/>
        </w:rPr>
      </w:pPr>
      <w:r w:rsidRPr="00DB1566">
        <w:rPr>
          <w:rFonts w:eastAsia="標楷體"/>
          <w:color w:val="000000" w:themeColor="text1"/>
          <w:sz w:val="20"/>
        </w:rPr>
        <w:t>April 21, 2023</w:t>
      </w:r>
      <w:r w:rsidRPr="00DB1566">
        <w:rPr>
          <w:rFonts w:eastAsia="標楷體"/>
          <w:color w:val="000000" w:themeColor="text1"/>
          <w:sz w:val="20"/>
        </w:rPr>
        <w:tab/>
        <w:t>(Articles 2, 4, 6, and 9) amended at the 100th University Council meeting</w:t>
      </w:r>
    </w:p>
    <w:p w14:paraId="23EF17F3"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kern w:val="0"/>
        </w:rPr>
        <w:t>第一條</w:t>
      </w:r>
      <w:r w:rsidRPr="00DB1566">
        <w:rPr>
          <w:rFonts w:eastAsia="標楷體"/>
          <w:color w:val="000000" w:themeColor="text1"/>
          <w:kern w:val="0"/>
        </w:rPr>
        <w:tab/>
      </w:r>
      <w:r w:rsidRPr="00DB1566">
        <w:rPr>
          <w:rFonts w:eastAsia="標楷體"/>
          <w:color w:val="000000" w:themeColor="text1"/>
          <w:kern w:val="0"/>
        </w:rPr>
        <w:t>國立中興大學（以下簡稱本校）為提升教師教學、研究與服務之績效，特依大學法第二十一條之規定，訂定「國立中興大學教師評鑑準則」（以下簡稱本準則）。</w:t>
      </w:r>
    </w:p>
    <w:p w14:paraId="268D599E" w14:textId="66FDD631" w:rsidR="00153488" w:rsidRPr="00DB1566" w:rsidRDefault="00617505"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kern w:val="0"/>
        </w:rPr>
        <w:t>Article 1</w:t>
      </w:r>
      <w:r w:rsidRPr="00DB1566">
        <w:rPr>
          <w:rFonts w:eastAsia="標楷體"/>
          <w:color w:val="000000" w:themeColor="text1"/>
          <w:kern w:val="0"/>
        </w:rPr>
        <w:tab/>
        <w:t xml:space="preserve">National Chung </w:t>
      </w:r>
      <w:proofErr w:type="spellStart"/>
      <w:r w:rsidRPr="00DB1566">
        <w:rPr>
          <w:rFonts w:eastAsia="標楷體"/>
          <w:color w:val="000000" w:themeColor="text1"/>
          <w:kern w:val="0"/>
        </w:rPr>
        <w:t>Hsing</w:t>
      </w:r>
      <w:proofErr w:type="spellEnd"/>
      <w:r w:rsidRPr="00DB1566">
        <w:rPr>
          <w:rFonts w:eastAsia="標楷體"/>
          <w:color w:val="000000" w:themeColor="text1"/>
          <w:kern w:val="0"/>
        </w:rPr>
        <w:t xml:space="preserve"> University (hereinafter referred to as “the University”) has formulated the Faculty Evaluation Guidelines (hereinafter referred to as “these Guidelines”) in accordance with the provisions of Article 21 of the University Act to strengthen faculty members’ performance in teaching, research, and service.</w:t>
      </w:r>
    </w:p>
    <w:p w14:paraId="6F7A01A9"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lastRenderedPageBreak/>
        <w:t>第二</w:t>
      </w:r>
      <w:r w:rsidRPr="00DB1566">
        <w:rPr>
          <w:rFonts w:eastAsia="標楷體"/>
          <w:color w:val="000000" w:themeColor="text1"/>
          <w:kern w:val="0"/>
        </w:rPr>
        <w:t>條</w:t>
      </w:r>
      <w:r w:rsidRPr="00DB1566">
        <w:rPr>
          <w:rFonts w:eastAsia="標楷體"/>
          <w:color w:val="000000" w:themeColor="text1"/>
          <w:kern w:val="0"/>
        </w:rPr>
        <w:tab/>
      </w:r>
      <w:r w:rsidRPr="00DB1566">
        <w:rPr>
          <w:rFonts w:eastAsia="標楷體"/>
          <w:color w:val="000000" w:themeColor="text1"/>
          <w:kern w:val="0"/>
        </w:rPr>
        <w:t>本校專任教授、副教授、助理教授、講師及八十六年三月十九日前取得教師證書之助教（以下簡稱舊制助教）</w:t>
      </w:r>
      <w:proofErr w:type="gramStart"/>
      <w:r w:rsidRPr="00DB1566">
        <w:rPr>
          <w:rFonts w:eastAsia="標楷體"/>
          <w:color w:val="000000" w:themeColor="text1"/>
          <w:kern w:val="0"/>
        </w:rPr>
        <w:t>均應依照</w:t>
      </w:r>
      <w:proofErr w:type="gramEnd"/>
      <w:r w:rsidRPr="00DB1566">
        <w:rPr>
          <w:rFonts w:eastAsia="標楷體"/>
          <w:color w:val="000000" w:themeColor="text1"/>
          <w:kern w:val="0"/>
        </w:rPr>
        <w:t>本準則之規定接受評鑑。但有下列情形之</w:t>
      </w:r>
      <w:proofErr w:type="gramStart"/>
      <w:r w:rsidRPr="00DB1566">
        <w:rPr>
          <w:rFonts w:eastAsia="標楷體"/>
          <w:color w:val="000000" w:themeColor="text1"/>
          <w:kern w:val="0"/>
        </w:rPr>
        <w:t>一</w:t>
      </w:r>
      <w:proofErr w:type="gramEnd"/>
      <w:r w:rsidRPr="00DB1566">
        <w:rPr>
          <w:rFonts w:eastAsia="標楷體"/>
          <w:color w:val="000000" w:themeColor="text1"/>
          <w:kern w:val="0"/>
        </w:rPr>
        <w:t>者，得免接受評鑑：</w:t>
      </w:r>
    </w:p>
    <w:p w14:paraId="17B3C89C" w14:textId="7AE0A177" w:rsidR="00153488" w:rsidRPr="00DB1566" w:rsidRDefault="00617505"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kern w:val="0"/>
        </w:rPr>
        <w:t>Article 2</w:t>
      </w:r>
      <w:r w:rsidRPr="00DB1566">
        <w:rPr>
          <w:rFonts w:eastAsia="標楷體"/>
          <w:color w:val="000000" w:themeColor="text1"/>
          <w:kern w:val="0"/>
        </w:rPr>
        <w:tab/>
        <w:t>Full-time professors, associate professors, assistant professors, and instructors, as well as teaching assistants who obtained their teaching certificate prior to March 19, 1997 (hereinafter referred to as “old-system teaching assistants”), shall be subject to evaluations in accordance with the provisions set forth in these Guidelines, unless they meet any of the following exemption criteria:</w:t>
      </w:r>
    </w:p>
    <w:p w14:paraId="6BA60E3C"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一、</w:t>
      </w:r>
      <w:r w:rsidRPr="00DB1566">
        <w:rPr>
          <w:rFonts w:eastAsia="標楷體"/>
          <w:color w:val="000000" w:themeColor="text1"/>
          <w:kern w:val="0"/>
        </w:rPr>
        <w:tab/>
      </w:r>
      <w:r w:rsidRPr="00DB1566">
        <w:rPr>
          <w:rFonts w:eastAsia="標楷體"/>
          <w:color w:val="000000" w:themeColor="text1"/>
          <w:kern w:val="0"/>
        </w:rPr>
        <w:t>年滿六十歲者。</w:t>
      </w:r>
    </w:p>
    <w:p w14:paraId="6723C3B7" w14:textId="39CF0EEF"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I.</w:t>
      </w:r>
      <w:r w:rsidRPr="00DB1566">
        <w:rPr>
          <w:rFonts w:eastAsia="標楷體"/>
          <w:color w:val="000000" w:themeColor="text1"/>
          <w:kern w:val="0"/>
        </w:rPr>
        <w:tab/>
        <w:t>They are over the age of 60.</w:t>
      </w:r>
    </w:p>
    <w:p w14:paraId="36F2549D" w14:textId="7A5B0315" w:rsidR="004E645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二、</w:t>
      </w:r>
      <w:r w:rsidRPr="00DB1566">
        <w:rPr>
          <w:rFonts w:eastAsia="標楷體"/>
          <w:color w:val="000000" w:themeColor="text1"/>
          <w:kern w:val="0"/>
        </w:rPr>
        <w:tab/>
      </w:r>
      <w:r w:rsidRPr="00DB1566">
        <w:rPr>
          <w:rFonts w:eastAsia="標楷體"/>
          <w:color w:val="000000" w:themeColor="text1"/>
          <w:kern w:val="0"/>
        </w:rPr>
        <w:t>曾獲選為國家學術研究院院士者。</w:t>
      </w:r>
    </w:p>
    <w:p w14:paraId="6218226A" w14:textId="1F9C2A0C"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II.</w:t>
      </w:r>
      <w:r w:rsidRPr="00DB1566">
        <w:rPr>
          <w:rFonts w:eastAsia="標楷體"/>
          <w:color w:val="000000" w:themeColor="text1"/>
          <w:kern w:val="0"/>
        </w:rPr>
        <w:tab/>
        <w:t xml:space="preserve">They have been elected as an academician by Academia </w:t>
      </w:r>
      <w:proofErr w:type="spellStart"/>
      <w:r w:rsidRPr="00DB1566">
        <w:rPr>
          <w:rFonts w:eastAsia="標楷體"/>
          <w:color w:val="000000" w:themeColor="text1"/>
          <w:kern w:val="0"/>
        </w:rPr>
        <w:t>Sinica</w:t>
      </w:r>
      <w:proofErr w:type="spellEnd"/>
      <w:r w:rsidRPr="00DB1566">
        <w:rPr>
          <w:rFonts w:eastAsia="標楷體"/>
          <w:color w:val="000000" w:themeColor="text1"/>
          <w:kern w:val="0"/>
        </w:rPr>
        <w:t>.</w:t>
      </w:r>
    </w:p>
    <w:p w14:paraId="48A4554B"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三、</w:t>
      </w:r>
      <w:r w:rsidRPr="00DB1566">
        <w:rPr>
          <w:rFonts w:eastAsia="標楷體"/>
          <w:color w:val="000000" w:themeColor="text1"/>
          <w:kern w:val="0"/>
        </w:rPr>
        <w:tab/>
      </w:r>
      <w:r w:rsidRPr="00DB1566">
        <w:rPr>
          <w:rFonts w:eastAsia="標楷體"/>
          <w:color w:val="000000" w:themeColor="text1"/>
          <w:kern w:val="0"/>
        </w:rPr>
        <w:t>曾獲頒教育部學術獎、教育部特優教師獎，或更高之國內外榮譽，經校教師評審委員會認定者。</w:t>
      </w:r>
    </w:p>
    <w:p w14:paraId="52ED1BAA" w14:textId="77551508"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III.</w:t>
      </w:r>
      <w:r w:rsidRPr="00DB1566">
        <w:rPr>
          <w:rFonts w:eastAsia="標楷體"/>
          <w:color w:val="000000" w:themeColor="text1"/>
          <w:kern w:val="0"/>
        </w:rPr>
        <w:tab/>
        <w:t>They have won the Ministry of Education Academic Award or Outstanding Teacher Award, or a domestic or international award of greater significance as determined by the University Faculty Evaluation Committee.</w:t>
      </w:r>
    </w:p>
    <w:p w14:paraId="60C0145E"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四、</w:t>
      </w:r>
      <w:r w:rsidRPr="00DB1566">
        <w:rPr>
          <w:rFonts w:eastAsia="標楷體"/>
          <w:color w:val="000000" w:themeColor="text1"/>
          <w:kern w:val="0"/>
        </w:rPr>
        <w:tab/>
      </w:r>
      <w:r w:rsidRPr="00DB1566">
        <w:rPr>
          <w:rFonts w:eastAsia="標楷體"/>
          <w:color w:val="000000" w:themeColor="text1"/>
          <w:kern w:val="0"/>
        </w:rPr>
        <w:t>曾擔任國內外著名學術講座之教授者。</w:t>
      </w:r>
    </w:p>
    <w:p w14:paraId="6D4B3CD2" w14:textId="617A08E9"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IV.</w:t>
      </w:r>
      <w:r w:rsidRPr="00DB1566">
        <w:rPr>
          <w:rFonts w:eastAsia="標楷體"/>
          <w:color w:val="000000" w:themeColor="text1"/>
          <w:kern w:val="0"/>
        </w:rPr>
        <w:tab/>
        <w:t>They have served as a chair professor at a renowned domestic or foreign institution.</w:t>
      </w:r>
    </w:p>
    <w:p w14:paraId="6454DE3C"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五、</w:t>
      </w:r>
      <w:r w:rsidRPr="00DB1566">
        <w:rPr>
          <w:rFonts w:eastAsia="標楷體"/>
          <w:color w:val="000000" w:themeColor="text1"/>
          <w:kern w:val="0"/>
        </w:rPr>
        <w:tab/>
      </w:r>
      <w:r w:rsidRPr="00DB1566">
        <w:rPr>
          <w:rFonts w:eastAsia="標楷體"/>
          <w:color w:val="000000" w:themeColor="text1"/>
          <w:kern w:val="0"/>
        </w:rPr>
        <w:t>曾獲頒</w:t>
      </w:r>
      <w:r w:rsidRPr="00DB1566">
        <w:rPr>
          <w:rFonts w:eastAsia="標楷體"/>
          <w:color w:val="000000" w:themeColor="text1"/>
        </w:rPr>
        <w:t>國家科學及技術委員會</w:t>
      </w:r>
      <w:r w:rsidRPr="00DB1566">
        <w:rPr>
          <w:rFonts w:eastAsia="標楷體"/>
          <w:color w:val="000000" w:themeColor="text1"/>
          <w:kern w:val="0"/>
        </w:rPr>
        <w:t>傑出研究獎勵者。</w:t>
      </w:r>
    </w:p>
    <w:p w14:paraId="7A692BFD" w14:textId="5852A017"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V.</w:t>
      </w:r>
      <w:r w:rsidRPr="00DB1566">
        <w:rPr>
          <w:rFonts w:eastAsia="標楷體"/>
          <w:color w:val="000000" w:themeColor="text1"/>
          <w:kern w:val="0"/>
        </w:rPr>
        <w:tab/>
        <w:t>They have won the National Science and Technology Council Outstanding Research Award.</w:t>
      </w:r>
    </w:p>
    <w:p w14:paraId="785442A7"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六、</w:t>
      </w:r>
      <w:r w:rsidRPr="00DB1566">
        <w:rPr>
          <w:rFonts w:eastAsia="標楷體"/>
          <w:color w:val="000000" w:themeColor="text1"/>
          <w:kern w:val="0"/>
        </w:rPr>
        <w:tab/>
      </w:r>
      <w:r w:rsidRPr="00DB1566">
        <w:rPr>
          <w:rFonts w:eastAsia="標楷體"/>
          <w:color w:val="000000" w:themeColor="text1"/>
          <w:kern w:val="0"/>
        </w:rPr>
        <w:t>依本校特聘教授設置辦法規定獲終身特聘教授榮銜者。</w:t>
      </w:r>
    </w:p>
    <w:p w14:paraId="2FC971BC" w14:textId="12DE25BE"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VI.</w:t>
      </w:r>
      <w:r w:rsidRPr="00DB1566">
        <w:rPr>
          <w:rFonts w:eastAsia="標楷體"/>
          <w:color w:val="000000" w:themeColor="text1"/>
          <w:kern w:val="0"/>
        </w:rPr>
        <w:tab/>
        <w:t>They have been awarded tenure as a lifetime distinguished professor in accordance with the University’s Regulations for the Establishment of Distinguished Professorships.</w:t>
      </w:r>
    </w:p>
    <w:p w14:paraId="478C5506"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七、</w:t>
      </w:r>
      <w:r w:rsidRPr="00DB1566">
        <w:rPr>
          <w:rFonts w:eastAsia="標楷體"/>
          <w:color w:val="000000" w:themeColor="text1"/>
          <w:kern w:val="0"/>
        </w:rPr>
        <w:tab/>
      </w:r>
      <w:r w:rsidRPr="00DB1566">
        <w:rPr>
          <w:rFonts w:eastAsia="標楷體"/>
          <w:color w:val="000000" w:themeColor="text1"/>
          <w:kern w:val="0"/>
        </w:rPr>
        <w:t>本校講座教授、特聘教授自獲頒年起算五年內者。</w:t>
      </w:r>
    </w:p>
    <w:p w14:paraId="5E1D17A1" w14:textId="4F0AA9E9"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VII.</w:t>
      </w:r>
      <w:r w:rsidRPr="00DB1566">
        <w:rPr>
          <w:rFonts w:eastAsia="標楷體"/>
          <w:color w:val="000000" w:themeColor="text1"/>
          <w:kern w:val="0"/>
        </w:rPr>
        <w:tab/>
        <w:t>They have been awarded a chair professorship or distinguished professorship by the University within five years from the year of conferment.</w:t>
      </w:r>
    </w:p>
    <w:p w14:paraId="3D60626B" w14:textId="77777777" w:rsidR="004E6458" w:rsidRPr="00DB1566" w:rsidRDefault="00153488" w:rsidP="00E2109F">
      <w:pPr>
        <w:adjustRightInd w:val="0"/>
        <w:snapToGrid w:val="0"/>
        <w:ind w:leftChars="500" w:left="1985" w:hangingChars="327" w:hanging="785"/>
        <w:rPr>
          <w:rFonts w:eastAsia="標楷體"/>
          <w:color w:val="000000" w:themeColor="text1"/>
        </w:rPr>
      </w:pPr>
      <w:r w:rsidRPr="00DB1566">
        <w:rPr>
          <w:rFonts w:eastAsia="標楷體"/>
          <w:color w:val="000000" w:themeColor="text1"/>
        </w:rPr>
        <w:t>八、</w:t>
      </w:r>
      <w:r w:rsidRPr="00DB1566">
        <w:rPr>
          <w:rFonts w:eastAsia="標楷體"/>
          <w:color w:val="000000" w:themeColor="text1"/>
        </w:rPr>
        <w:tab/>
      </w:r>
      <w:r w:rsidRPr="00DB1566">
        <w:rPr>
          <w:rFonts w:eastAsia="標楷體"/>
          <w:color w:val="000000" w:themeColor="text1"/>
        </w:rPr>
        <w:t>曾獲國家科學及技術委員會甲種研究獎或科技部專題研究計畫（含產學合作計畫）研究主持人費合計十次以上者</w:t>
      </w:r>
      <w:r w:rsidRPr="00DB1566">
        <w:rPr>
          <w:rFonts w:eastAsia="標楷體"/>
          <w:color w:val="000000" w:themeColor="text1"/>
        </w:rPr>
        <w:t>(</w:t>
      </w:r>
      <w:proofErr w:type="gramStart"/>
      <w:r w:rsidRPr="00DB1566">
        <w:rPr>
          <w:rFonts w:eastAsia="標楷體"/>
          <w:color w:val="000000" w:themeColor="text1"/>
        </w:rPr>
        <w:t>採</w:t>
      </w:r>
      <w:proofErr w:type="gramEnd"/>
      <w:r w:rsidRPr="00DB1566">
        <w:rPr>
          <w:rFonts w:eastAsia="標楷體"/>
          <w:color w:val="000000" w:themeColor="text1"/>
        </w:rPr>
        <w:t>計至評鑑當</w:t>
      </w:r>
      <w:proofErr w:type="gramStart"/>
      <w:r w:rsidRPr="00DB1566">
        <w:rPr>
          <w:rFonts w:eastAsia="標楷體"/>
          <w:color w:val="000000" w:themeColor="text1"/>
        </w:rPr>
        <w:t>學年度</w:t>
      </w:r>
      <w:proofErr w:type="gramEnd"/>
      <w:r w:rsidRPr="00DB1566">
        <w:rPr>
          <w:rFonts w:eastAsia="標楷體"/>
          <w:color w:val="000000" w:themeColor="text1"/>
        </w:rPr>
        <w:t>止</w:t>
      </w:r>
      <w:r w:rsidRPr="00DB1566">
        <w:rPr>
          <w:rFonts w:eastAsia="標楷體"/>
          <w:color w:val="000000" w:themeColor="text1"/>
        </w:rPr>
        <w:t>)</w:t>
      </w:r>
      <w:r w:rsidRPr="00DB1566">
        <w:rPr>
          <w:rFonts w:eastAsia="標楷體"/>
          <w:color w:val="000000" w:themeColor="text1"/>
        </w:rPr>
        <w:t>。又計畫執行期限須達一年以上始予</w:t>
      </w:r>
      <w:proofErr w:type="gramStart"/>
      <w:r w:rsidRPr="00DB1566">
        <w:rPr>
          <w:rFonts w:eastAsia="標楷體"/>
          <w:color w:val="000000" w:themeColor="text1"/>
        </w:rPr>
        <w:t>採</w:t>
      </w:r>
      <w:proofErr w:type="gramEnd"/>
      <w:r w:rsidRPr="00DB1566">
        <w:rPr>
          <w:rFonts w:eastAsia="標楷體"/>
          <w:color w:val="000000" w:themeColor="text1"/>
        </w:rPr>
        <w:t>計，且一年至多採計一次。</w:t>
      </w:r>
    </w:p>
    <w:p w14:paraId="1D206FA1" w14:textId="1B68CDA9" w:rsidR="00153488" w:rsidRPr="00DB1566" w:rsidRDefault="00617505"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 xml:space="preserve"> VIII.</w:t>
      </w:r>
      <w:r w:rsidRPr="00DB1566">
        <w:rPr>
          <w:rFonts w:eastAsia="標楷體"/>
          <w:color w:val="000000" w:themeColor="text1"/>
          <w:kern w:val="0"/>
        </w:rPr>
        <w:tab/>
        <w:t>They have been awarded the National Science and Technology Council Class A Research Award or have served as the principal investigator of Ministry of Science and Technology research projects (including academia–industry collaboration projects) at least ten times (</w:t>
      </w:r>
      <w:proofErr w:type="gramStart"/>
      <w:r w:rsidRPr="00DB1566">
        <w:rPr>
          <w:rFonts w:eastAsia="標楷體"/>
          <w:color w:val="000000" w:themeColor="text1"/>
          <w:kern w:val="0"/>
        </w:rPr>
        <w:t>counted up</w:t>
      </w:r>
      <w:proofErr w:type="gramEnd"/>
      <w:r w:rsidRPr="00DB1566">
        <w:rPr>
          <w:rFonts w:eastAsia="標楷體"/>
          <w:color w:val="000000" w:themeColor="text1"/>
          <w:kern w:val="0"/>
        </w:rPr>
        <w:t xml:space="preserve"> to the academic year of evaluation). </w:t>
      </w:r>
      <w:r w:rsidRPr="00DB1566">
        <w:rPr>
          <w:rFonts w:eastAsia="標楷體"/>
          <w:color w:val="000000" w:themeColor="text1"/>
        </w:rPr>
        <w:t xml:space="preserve">A project must last at least one year to be counted, and only one project per year may be counted. </w:t>
      </w:r>
    </w:p>
    <w:p w14:paraId="25CA401E"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t>第三條</w:t>
      </w:r>
      <w:r w:rsidRPr="00DB1566">
        <w:rPr>
          <w:rFonts w:eastAsia="標楷體"/>
          <w:color w:val="000000" w:themeColor="text1"/>
        </w:rPr>
        <w:tab/>
      </w:r>
      <w:r w:rsidRPr="00DB1566">
        <w:rPr>
          <w:rFonts w:eastAsia="標楷體"/>
          <w:color w:val="000000" w:themeColor="text1"/>
          <w:kern w:val="0"/>
        </w:rPr>
        <w:t>本校各學院，應於每學年開始時，組成教師評鑑小組，辦理院負責該學年度該院內教師之評鑑工作。小組之組成方式與人數，由各學院自定，惟評鑑小組委員應聘請校內外傑出學者專家擔任之，校外委員至少應有二分之一以上。</w:t>
      </w:r>
    </w:p>
    <w:p w14:paraId="00673BCC" w14:textId="63BCEF53" w:rsidR="00153488" w:rsidRPr="00DB1566" w:rsidRDefault="00E62E22"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kern w:val="0"/>
        </w:rPr>
        <w:t>Article 3</w:t>
      </w:r>
      <w:r w:rsidRPr="00DB1566">
        <w:rPr>
          <w:rFonts w:eastAsia="標楷體"/>
          <w:color w:val="000000" w:themeColor="text1"/>
          <w:kern w:val="0"/>
        </w:rPr>
        <w:tab/>
        <w:t xml:space="preserve">Each college of the University shall establish a faculty evaluation task force at the beginning of each academic year. The task force shall </w:t>
      </w:r>
      <w:proofErr w:type="gramStart"/>
      <w:r w:rsidRPr="00DB1566">
        <w:rPr>
          <w:rFonts w:eastAsia="標楷體"/>
          <w:color w:val="000000" w:themeColor="text1"/>
          <w:kern w:val="0"/>
        </w:rPr>
        <w:t>be in charge of</w:t>
      </w:r>
      <w:proofErr w:type="gramEnd"/>
      <w:r w:rsidRPr="00DB1566">
        <w:rPr>
          <w:rFonts w:eastAsia="標楷體"/>
          <w:color w:val="000000" w:themeColor="text1"/>
          <w:kern w:val="0"/>
        </w:rPr>
        <w:t xml:space="preserve"> faculty evaluations within the college for the academic year. The composition and number of members of the task force shall be determined by individual colleges. The evaluation task force shall be composed of distinguished scholars and experts from within and outside of the University, and at least half of the members shall be unaffiliated with the University.</w:t>
      </w:r>
    </w:p>
    <w:p w14:paraId="1021BDFD"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前項評鑑各學院因</w:t>
      </w:r>
      <w:proofErr w:type="gramStart"/>
      <w:r w:rsidRPr="00DB1566">
        <w:rPr>
          <w:rFonts w:eastAsia="標楷體"/>
          <w:color w:val="000000" w:themeColor="text1"/>
        </w:rPr>
        <w:t>採</w:t>
      </w:r>
      <w:proofErr w:type="gramEnd"/>
      <w:r w:rsidRPr="00DB1566">
        <w:rPr>
          <w:rFonts w:eastAsia="標楷體"/>
          <w:color w:val="000000" w:themeColor="text1"/>
        </w:rPr>
        <w:t>領域評鑑、受評鑑教師不足十人或其他特殊狀況，各學院得另訂評鑑時程，依行政程序報請校長核定後實施。</w:t>
      </w:r>
    </w:p>
    <w:p w14:paraId="136DBF74" w14:textId="1776C2C2"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 xml:space="preserve">For the evaluations referred to in the preceding paragraph, colleges may set a separate evaluation schedule if they adopt field-based evaluations, if there are fewer than 10 faculty members subject to evaluation, or if there are other extraordinary circumstances. The </w:t>
      </w:r>
      <w:proofErr w:type="gramStart"/>
      <w:r w:rsidRPr="00DB1566">
        <w:rPr>
          <w:rFonts w:eastAsia="標楷體"/>
          <w:color w:val="000000" w:themeColor="text1"/>
        </w:rPr>
        <w:t>aforementioned evaluation</w:t>
      </w:r>
      <w:proofErr w:type="gramEnd"/>
      <w:r w:rsidRPr="00DB1566">
        <w:rPr>
          <w:rFonts w:eastAsia="標楷體"/>
          <w:color w:val="000000" w:themeColor="text1"/>
        </w:rPr>
        <w:t xml:space="preserve"> schedule shall be implemented upon approval by the President in </w:t>
      </w:r>
      <w:r w:rsidRPr="00DB1566">
        <w:rPr>
          <w:rFonts w:eastAsia="標楷體"/>
          <w:color w:val="000000" w:themeColor="text1"/>
        </w:rPr>
        <w:lastRenderedPageBreak/>
        <w:t>accordance with administrative procedures.</w:t>
      </w:r>
    </w:p>
    <w:p w14:paraId="4B9C6E65" w14:textId="77777777" w:rsidR="004E6458" w:rsidRPr="00DB1566" w:rsidRDefault="00153488" w:rsidP="004E6458">
      <w:pPr>
        <w:adjustRightInd w:val="0"/>
        <w:snapToGrid w:val="0"/>
        <w:ind w:left="1200" w:hangingChars="500" w:hanging="1200"/>
        <w:rPr>
          <w:rFonts w:eastAsia="標楷體"/>
          <w:color w:val="000000" w:themeColor="text1"/>
        </w:rPr>
      </w:pPr>
      <w:r w:rsidRPr="00DB1566">
        <w:rPr>
          <w:rFonts w:eastAsia="標楷體"/>
          <w:color w:val="000000" w:themeColor="text1"/>
        </w:rPr>
        <w:t>第四條</w:t>
      </w:r>
      <w:r w:rsidRPr="00DB1566">
        <w:rPr>
          <w:rFonts w:eastAsia="標楷體"/>
          <w:color w:val="000000" w:themeColor="text1"/>
        </w:rPr>
        <w:tab/>
      </w:r>
      <w:r w:rsidRPr="00DB1566">
        <w:rPr>
          <w:rFonts w:eastAsia="標楷體"/>
          <w:color w:val="000000" w:themeColor="text1"/>
        </w:rPr>
        <w:t>本校教師評鑑之內容分教學績效、研究績效及服務績效等項目。舊制助教評鑑之內容分協助教學與研究及行政服務績效等項目。各學院應針對評鑑項目訂出詳細的評鑑細項與</w:t>
      </w:r>
      <w:proofErr w:type="gramStart"/>
      <w:r w:rsidRPr="00DB1566">
        <w:rPr>
          <w:rFonts w:eastAsia="標楷體"/>
          <w:color w:val="000000" w:themeColor="text1"/>
        </w:rPr>
        <w:t>佔</w:t>
      </w:r>
      <w:proofErr w:type="gramEnd"/>
      <w:r w:rsidRPr="00DB1566">
        <w:rPr>
          <w:rFonts w:eastAsia="標楷體"/>
          <w:color w:val="000000" w:themeColor="text1"/>
        </w:rPr>
        <w:t>分比例，製成表格，並規定評鑑之方法與通過之標準，經院務會議通過，報請校長核定後實施。</w:t>
      </w:r>
    </w:p>
    <w:p w14:paraId="74567D69" w14:textId="74030580" w:rsidR="00153488" w:rsidRPr="00DB1566" w:rsidRDefault="00E62E22" w:rsidP="004E6458">
      <w:pPr>
        <w:adjustRightInd w:val="0"/>
        <w:snapToGrid w:val="0"/>
        <w:ind w:left="1200" w:hangingChars="500" w:hanging="1200"/>
        <w:rPr>
          <w:rFonts w:eastAsia="標楷體"/>
          <w:color w:val="000000" w:themeColor="text1"/>
        </w:rPr>
      </w:pPr>
      <w:r w:rsidRPr="00DB1566">
        <w:rPr>
          <w:rFonts w:eastAsia="標楷體"/>
          <w:color w:val="000000" w:themeColor="text1"/>
          <w:kern w:val="0"/>
        </w:rPr>
        <w:t xml:space="preserve"> Article 4</w:t>
      </w:r>
      <w:r w:rsidRPr="00DB1566">
        <w:rPr>
          <w:rFonts w:eastAsia="標楷體"/>
          <w:color w:val="000000" w:themeColor="text1"/>
          <w:kern w:val="0"/>
        </w:rPr>
        <w:tab/>
        <w:t xml:space="preserve">Faculty members of the University shall be evaluated for their performance in the three areas of teaching, research, and service. Evaluations for old-system teaching assistants shall cover the two areas of assistance in teaching and research as well as administrative service performance. </w:t>
      </w:r>
      <w:r w:rsidRPr="00DB1566">
        <w:rPr>
          <w:rFonts w:eastAsia="標楷體"/>
          <w:color w:val="000000" w:themeColor="text1"/>
        </w:rPr>
        <w:t xml:space="preserve">Each college shall establish detailed evaluation criteria and weighting ratios for the evaluation items, compile them into tables, and specify the evaluation methods and passing standards. These shall be approved by the College Affairs Meeting and implemented upon approval by the President. </w:t>
      </w:r>
    </w:p>
    <w:p w14:paraId="2B61186D"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前項教師評鑑之教學績效部分配分比例不得低於教師評鑑總分之百分之三十。</w:t>
      </w:r>
    </w:p>
    <w:p w14:paraId="35161D29" w14:textId="6F5508FA"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The weighting ratio assigned to the teaching performance component, as described in the preceding paragraph, may be no less than 30% of the total faculty evaluation score.</w:t>
      </w:r>
    </w:p>
    <w:p w14:paraId="342CA2AD"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第一項各院訂定評鑑總分及單項評鑑項目之通過標準</w:t>
      </w:r>
      <w:proofErr w:type="gramStart"/>
      <w:r w:rsidRPr="00DB1566">
        <w:rPr>
          <w:rFonts w:eastAsia="標楷體"/>
          <w:color w:val="000000" w:themeColor="text1"/>
        </w:rPr>
        <w:t>最低均應達</w:t>
      </w:r>
      <w:proofErr w:type="gramEnd"/>
      <w:r w:rsidRPr="00DB1566">
        <w:rPr>
          <w:rFonts w:eastAsia="標楷體"/>
          <w:color w:val="000000" w:themeColor="text1"/>
        </w:rPr>
        <w:t>七十分以上。各院得訂定更高通過標準。</w:t>
      </w:r>
    </w:p>
    <w:p w14:paraId="2C698F3A" w14:textId="7FCDEE0F"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For the evaluation standards established by each college under Paragraph 1, the minimum passing score for both the overall evaluation and each individual evaluation item shall be no less than 70 points. Individual colleges may set higher passing standards.</w:t>
      </w:r>
    </w:p>
    <w:p w14:paraId="11011915"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受評鑑教師於評鑑區間內曾執行大學社會責任實踐計畫（</w:t>
      </w:r>
      <w:r w:rsidRPr="00DB1566">
        <w:rPr>
          <w:rFonts w:eastAsia="標楷體"/>
          <w:color w:val="000000" w:themeColor="text1"/>
        </w:rPr>
        <w:t>University Social Responsibility</w:t>
      </w:r>
      <w:r w:rsidRPr="00DB1566">
        <w:rPr>
          <w:rFonts w:eastAsia="標楷體"/>
          <w:color w:val="000000" w:themeColor="text1"/>
        </w:rPr>
        <w:t>）、擔任校外機關委員會委員者，應於服務績效項目下予以加分。加分標準授權各學院自訂。</w:t>
      </w:r>
    </w:p>
    <w:p w14:paraId="68A87C09" w14:textId="30166A26"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Faculty members under evaluation who have led a university social responsibility (USR) project during the evaluation period or served as members of committees of external organizations shall receive bonus points under the service performance category. The standards for bonus points shall be determined by individual colleges.</w:t>
      </w:r>
    </w:p>
    <w:p w14:paraId="2E6825F6"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受評鑑教師於評鑑區間內如有研究生學位論文與專業領域有不符之事實並經所屬系</w:t>
      </w:r>
      <w:r w:rsidRPr="00DB1566">
        <w:rPr>
          <w:rFonts w:eastAsia="標楷體"/>
          <w:color w:val="000000" w:themeColor="text1"/>
        </w:rPr>
        <w:t>(</w:t>
      </w:r>
      <w:r w:rsidRPr="00DB1566">
        <w:rPr>
          <w:rFonts w:eastAsia="標楷體"/>
          <w:color w:val="000000" w:themeColor="text1"/>
        </w:rPr>
        <w:t>所、學位學程</w:t>
      </w:r>
      <w:r w:rsidRPr="00DB1566">
        <w:rPr>
          <w:rFonts w:eastAsia="標楷體"/>
          <w:color w:val="000000" w:themeColor="text1"/>
        </w:rPr>
        <w:t>)</w:t>
      </w:r>
      <w:r w:rsidRPr="00DB1566">
        <w:rPr>
          <w:rFonts w:eastAsia="標楷體"/>
          <w:color w:val="000000" w:themeColor="text1"/>
        </w:rPr>
        <w:t>、學院調查屬實者，應於教學績效項目下予以減分。減分標準授權各學院自訂。</w:t>
      </w:r>
    </w:p>
    <w:p w14:paraId="22AB488D" w14:textId="4836CF86"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Faculty members under evaluation shall have penalty points deducted from their teaching performance category if, during the evaluation period, a graduate student under their advisement is deemed upon investigation by the competent department (or graduate institute, degree program) and the college to have a thesis that is inconsistent with their professional field. The standards for penalty points shall be determined by individual colleges.</w:t>
      </w:r>
    </w:p>
    <w:p w14:paraId="7FCFC994"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t>第五條</w:t>
      </w:r>
      <w:r w:rsidRPr="00DB1566">
        <w:rPr>
          <w:rFonts w:eastAsia="標楷體"/>
          <w:color w:val="000000" w:themeColor="text1"/>
        </w:rPr>
        <w:tab/>
      </w:r>
      <w:r w:rsidRPr="00DB1566">
        <w:rPr>
          <w:rFonts w:eastAsia="標楷體"/>
          <w:color w:val="000000" w:themeColor="text1"/>
          <w:kern w:val="0"/>
        </w:rPr>
        <w:t>各學院各年度之評鑑工作應於五月三十一日前完成，各評鑑小組應於四月三十日前，通知各系（所）據實填妥表格，並附必要之佐證資料，送至評鑑小組，以便進行評鑑，受評鑑教師無故不提出資料者，視同未通過評鑑。</w:t>
      </w:r>
    </w:p>
    <w:p w14:paraId="200B168D" w14:textId="6F1AB9C8" w:rsidR="00153488" w:rsidRPr="00DB1566" w:rsidRDefault="00E62E22" w:rsidP="004E6458">
      <w:pPr>
        <w:adjustRightInd w:val="0"/>
        <w:snapToGrid w:val="0"/>
        <w:ind w:left="1200" w:hangingChars="500" w:hanging="1200"/>
        <w:rPr>
          <w:rFonts w:eastAsia="標楷體"/>
          <w:color w:val="000000" w:themeColor="text1"/>
        </w:rPr>
      </w:pPr>
      <w:r w:rsidRPr="00DB1566">
        <w:rPr>
          <w:rFonts w:eastAsia="標楷體"/>
          <w:color w:val="000000" w:themeColor="text1"/>
          <w:kern w:val="0"/>
        </w:rPr>
        <w:t xml:space="preserve"> Article 5</w:t>
      </w:r>
      <w:r w:rsidRPr="00DB1566">
        <w:rPr>
          <w:rFonts w:eastAsia="標楷體"/>
          <w:color w:val="000000" w:themeColor="text1"/>
          <w:kern w:val="0"/>
        </w:rPr>
        <w:tab/>
        <w:t xml:space="preserve">Each college shall complete all evaluation tasks by May 31 of each year. Each evaluation task force shall inform each department (graduate institute) to duly fill out the forms, affix the necessary supporting materials, and submit them to the task force for evaluation by April 30. Faculty members under evaluation who refuse to provide the documents without any reason shall be deemed as having failed the evaluation. </w:t>
      </w:r>
    </w:p>
    <w:p w14:paraId="2BD7BE53"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kern w:val="0"/>
        </w:rPr>
        <w:t>各學院應將評鑑結果及評鑑紀錄，連同當年度合於免評鑑條件者，於六月十日前報請學校核備。</w:t>
      </w:r>
      <w:r w:rsidRPr="00DB1566">
        <w:rPr>
          <w:rFonts w:eastAsia="標楷體"/>
          <w:color w:val="000000" w:themeColor="text1"/>
        </w:rPr>
        <w:t>並通知各系所、受評教師。</w:t>
      </w:r>
    </w:p>
    <w:p w14:paraId="646CE414" w14:textId="59671E52" w:rsidR="00153488" w:rsidRPr="00DB1566" w:rsidRDefault="00C40AF7" w:rsidP="004E6458">
      <w:pPr>
        <w:adjustRightInd w:val="0"/>
        <w:snapToGrid w:val="0"/>
        <w:ind w:leftChars="500" w:left="1200"/>
        <w:rPr>
          <w:rFonts w:eastAsia="標楷體"/>
          <w:color w:val="000000" w:themeColor="text1"/>
        </w:rPr>
      </w:pPr>
      <w:r w:rsidRPr="00DB1566">
        <w:rPr>
          <w:rFonts w:eastAsia="標楷體"/>
          <w:color w:val="000000" w:themeColor="text1"/>
        </w:rPr>
        <w:t>Each college shall submit the evaluation results and records together with a list of names of evaluation-exempt faculty members for the year to the University for review and filing by June 10, and shall inform each department (graduate institute) and faculty member under evaluation of such.</w:t>
      </w:r>
    </w:p>
    <w:p w14:paraId="347EC15F"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t>第六條</w:t>
      </w:r>
      <w:r w:rsidRPr="00DB1566">
        <w:rPr>
          <w:rFonts w:eastAsia="標楷體"/>
          <w:color w:val="000000" w:themeColor="text1"/>
        </w:rPr>
        <w:tab/>
      </w:r>
      <w:r w:rsidRPr="00DB1566">
        <w:rPr>
          <w:rFonts w:eastAsia="標楷體"/>
          <w:color w:val="000000" w:themeColor="text1"/>
          <w:kern w:val="0"/>
        </w:rPr>
        <w:t>本校各級專任教師每五年應接受一次評鑑。新聘教師於到校滿三年開始接受評鑑。任何一次評鑑結果未達通過標準者，下</w:t>
      </w:r>
      <w:proofErr w:type="gramStart"/>
      <w:r w:rsidRPr="00DB1566">
        <w:rPr>
          <w:rFonts w:eastAsia="標楷體"/>
          <w:color w:val="000000" w:themeColor="text1"/>
          <w:kern w:val="0"/>
        </w:rPr>
        <w:t>一年均應接受</w:t>
      </w:r>
      <w:proofErr w:type="gramEnd"/>
      <w:r w:rsidRPr="00DB1566">
        <w:rPr>
          <w:rFonts w:eastAsia="標楷體"/>
          <w:color w:val="000000" w:themeColor="text1"/>
          <w:kern w:val="0"/>
        </w:rPr>
        <w:t>「再評鑑」。「再評鑑」仍未達通過標</w:t>
      </w:r>
      <w:r w:rsidRPr="00DB1566">
        <w:rPr>
          <w:rFonts w:eastAsia="標楷體"/>
          <w:color w:val="000000" w:themeColor="text1"/>
          <w:kern w:val="0"/>
        </w:rPr>
        <w:lastRenderedPageBreak/>
        <w:t>準者，下一年應繼續接受「再評鑑」，並以二次為原則。</w:t>
      </w:r>
    </w:p>
    <w:p w14:paraId="46E55504" w14:textId="70660D99" w:rsidR="00C40AF7" w:rsidRPr="00DB1566" w:rsidRDefault="00E62E22" w:rsidP="00C40AF7">
      <w:pPr>
        <w:adjustRightInd w:val="0"/>
        <w:snapToGrid w:val="0"/>
        <w:ind w:left="1200" w:hangingChars="500" w:hanging="1200"/>
        <w:rPr>
          <w:rFonts w:eastAsia="標楷體"/>
          <w:color w:val="000000" w:themeColor="text1"/>
          <w:kern w:val="0"/>
        </w:rPr>
      </w:pPr>
      <w:r w:rsidRPr="00DB1566">
        <w:rPr>
          <w:rFonts w:eastAsia="標楷體"/>
          <w:color w:val="000000" w:themeColor="text1"/>
          <w:kern w:val="0"/>
        </w:rPr>
        <w:t>Article 6</w:t>
      </w:r>
      <w:r w:rsidRPr="00DB1566">
        <w:rPr>
          <w:rFonts w:eastAsia="標楷體"/>
          <w:color w:val="000000" w:themeColor="text1"/>
          <w:kern w:val="0"/>
        </w:rPr>
        <w:tab/>
        <w:t>The University’s full-time faculty of any rank shall undergo evaluation every five years. Newly appointed faculty members shall begin to undergo evaluation after three years of service at the University. If the result of any evaluation fails to meet the passing standard, the faculty member shall undergo a re-evaluation in the following year. If the result of the re-evaluation still fails to meet the passing standard, the faculty member shall continue to undergo re-evaluation in the following year, in principle for up to two consecutive times.</w:t>
      </w:r>
    </w:p>
    <w:p w14:paraId="613AE708" w14:textId="1B487CB8" w:rsidR="004E6458" w:rsidRPr="00DB1566" w:rsidRDefault="00153488" w:rsidP="004E6458">
      <w:pPr>
        <w:adjustRightInd w:val="0"/>
        <w:snapToGrid w:val="0"/>
        <w:ind w:leftChars="500" w:left="1200"/>
        <w:rPr>
          <w:rFonts w:eastAsia="標楷體"/>
          <w:color w:val="000000" w:themeColor="text1"/>
          <w:spacing w:val="-4"/>
          <w:kern w:val="0"/>
        </w:rPr>
      </w:pPr>
      <w:r w:rsidRPr="00DB1566">
        <w:rPr>
          <w:rFonts w:eastAsia="標楷體"/>
          <w:color w:val="000000" w:themeColor="text1"/>
          <w:kern w:val="0"/>
        </w:rPr>
        <w:t>經評鑑應接受「再評鑑」者，學校應將結果</w:t>
      </w:r>
      <w:proofErr w:type="gramStart"/>
      <w:r w:rsidRPr="00DB1566">
        <w:rPr>
          <w:rFonts w:eastAsia="標楷體"/>
          <w:color w:val="000000" w:themeColor="text1"/>
          <w:kern w:val="0"/>
        </w:rPr>
        <w:t>併同本</w:t>
      </w:r>
      <w:proofErr w:type="gramEnd"/>
      <w:r w:rsidRPr="00DB1566">
        <w:rPr>
          <w:rFonts w:eastAsia="標楷體"/>
          <w:color w:val="000000" w:themeColor="text1"/>
          <w:kern w:val="0"/>
        </w:rPr>
        <w:t>準則之規定，通知受評鑑之教師。</w:t>
      </w:r>
    </w:p>
    <w:p w14:paraId="2931190D" w14:textId="3AC70DE3" w:rsidR="00153488" w:rsidRPr="00DB1566" w:rsidRDefault="00205ADC" w:rsidP="004E6458">
      <w:pPr>
        <w:adjustRightInd w:val="0"/>
        <w:snapToGrid w:val="0"/>
        <w:ind w:leftChars="500" w:left="1200"/>
        <w:rPr>
          <w:rFonts w:eastAsia="標楷體"/>
          <w:color w:val="000000" w:themeColor="text1"/>
          <w:kern w:val="0"/>
        </w:rPr>
      </w:pPr>
      <w:r w:rsidRPr="00DB1566">
        <w:rPr>
          <w:rFonts w:eastAsia="標楷體"/>
          <w:color w:val="000000" w:themeColor="text1"/>
          <w:kern w:val="0"/>
        </w:rPr>
        <w:t>For faculty members required to undergo re-evaluation based on the evaluation results, the University shall inform them of their results and the provisions stipulated in these Guidelines.</w:t>
      </w:r>
    </w:p>
    <w:p w14:paraId="034AFD73"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通過評鑑（再評鑑）者，每隔</w:t>
      </w:r>
      <w:r w:rsidRPr="00DB1566">
        <w:rPr>
          <w:rFonts w:eastAsia="標楷體"/>
          <w:color w:val="000000" w:themeColor="text1"/>
          <w:kern w:val="0"/>
        </w:rPr>
        <w:t>五</w:t>
      </w:r>
      <w:r w:rsidRPr="00DB1566">
        <w:rPr>
          <w:rFonts w:eastAsia="標楷體"/>
          <w:color w:val="000000" w:themeColor="text1"/>
        </w:rPr>
        <w:t>年再</w:t>
      </w:r>
      <w:r w:rsidRPr="00DB1566">
        <w:rPr>
          <w:rFonts w:eastAsia="標楷體"/>
          <w:color w:val="000000" w:themeColor="text1"/>
          <w:kern w:val="0"/>
        </w:rPr>
        <w:t>接受</w:t>
      </w:r>
      <w:r w:rsidRPr="00DB1566">
        <w:rPr>
          <w:rFonts w:eastAsia="標楷體"/>
          <w:color w:val="000000" w:themeColor="text1"/>
        </w:rPr>
        <w:t>評鑑。</w:t>
      </w:r>
    </w:p>
    <w:p w14:paraId="5B9AE023" w14:textId="2037E712" w:rsidR="00153488" w:rsidRPr="00DB1566" w:rsidRDefault="00205ADC" w:rsidP="004E6458">
      <w:pPr>
        <w:adjustRightInd w:val="0"/>
        <w:snapToGrid w:val="0"/>
        <w:ind w:leftChars="500" w:left="1200"/>
        <w:rPr>
          <w:rFonts w:eastAsia="標楷體"/>
          <w:color w:val="000000" w:themeColor="text1"/>
        </w:rPr>
      </w:pPr>
      <w:r w:rsidRPr="00DB1566">
        <w:rPr>
          <w:rFonts w:eastAsia="標楷體"/>
          <w:color w:val="000000" w:themeColor="text1"/>
        </w:rPr>
        <w:t>Faculty members who pass the evaluation (or re-evaluation) shall be subject to another evaluation in five years.</w:t>
      </w:r>
    </w:p>
    <w:p w14:paraId="73509E2D" w14:textId="77777777" w:rsidR="004E6458" w:rsidRPr="00DB1566" w:rsidRDefault="00153488" w:rsidP="004E6458">
      <w:pPr>
        <w:adjustRightInd w:val="0"/>
        <w:snapToGrid w:val="0"/>
        <w:ind w:left="1200" w:hangingChars="500" w:hanging="1200"/>
        <w:rPr>
          <w:rFonts w:eastAsia="標楷體"/>
          <w:color w:val="000000" w:themeColor="text1"/>
        </w:rPr>
      </w:pPr>
      <w:r w:rsidRPr="00DB1566">
        <w:rPr>
          <w:rFonts w:eastAsia="標楷體"/>
          <w:color w:val="000000" w:themeColor="text1"/>
        </w:rPr>
        <w:t>第七條</w:t>
      </w:r>
      <w:r w:rsidRPr="00DB1566">
        <w:rPr>
          <w:rFonts w:eastAsia="標楷體"/>
          <w:color w:val="000000" w:themeColor="text1"/>
        </w:rPr>
        <w:tab/>
      </w:r>
      <w:r w:rsidRPr="00DB1566">
        <w:rPr>
          <w:rFonts w:eastAsia="標楷體"/>
          <w:color w:val="000000" w:themeColor="text1"/>
        </w:rPr>
        <w:t>各評鑑小組評定教學、研究績效特別優良之教師，得分別推薦為本校「教學特優教師獎」、「研究</w:t>
      </w:r>
      <w:proofErr w:type="gramStart"/>
      <w:r w:rsidRPr="00DB1566">
        <w:rPr>
          <w:rFonts w:eastAsia="標楷體"/>
          <w:color w:val="000000" w:themeColor="text1"/>
        </w:rPr>
        <w:t>績優獎</w:t>
      </w:r>
      <w:proofErr w:type="gramEnd"/>
      <w:r w:rsidRPr="00DB1566">
        <w:rPr>
          <w:rFonts w:eastAsia="標楷體"/>
          <w:color w:val="000000" w:themeColor="text1"/>
        </w:rPr>
        <w:t>」或「青年教師研究獎」、「服務</w:t>
      </w:r>
      <w:proofErr w:type="gramStart"/>
      <w:r w:rsidRPr="00DB1566">
        <w:rPr>
          <w:rFonts w:eastAsia="標楷體"/>
          <w:color w:val="000000" w:themeColor="text1"/>
        </w:rPr>
        <w:t>績優</w:t>
      </w:r>
      <w:proofErr w:type="gramEnd"/>
      <w:r w:rsidRPr="00DB1566">
        <w:rPr>
          <w:rFonts w:eastAsia="標楷體"/>
          <w:color w:val="000000" w:themeColor="text1"/>
        </w:rPr>
        <w:t>獎」候選人。各院、系（所）亦可針對評鑑結果，另自訂獎勵措施。</w:t>
      </w:r>
    </w:p>
    <w:p w14:paraId="5F958571" w14:textId="20CE0606" w:rsidR="00153488" w:rsidRPr="00DB1566" w:rsidRDefault="00E62E22" w:rsidP="004E6458">
      <w:pPr>
        <w:adjustRightInd w:val="0"/>
        <w:snapToGrid w:val="0"/>
        <w:ind w:left="1200" w:hangingChars="500" w:hanging="1200"/>
        <w:rPr>
          <w:rFonts w:eastAsia="標楷體"/>
          <w:color w:val="000000" w:themeColor="text1"/>
        </w:rPr>
      </w:pPr>
      <w:r w:rsidRPr="00DB1566">
        <w:rPr>
          <w:rFonts w:eastAsia="標楷體"/>
          <w:color w:val="000000" w:themeColor="text1"/>
          <w:kern w:val="0"/>
        </w:rPr>
        <w:t xml:space="preserve"> Article 7</w:t>
      </w:r>
      <w:r w:rsidRPr="00DB1566">
        <w:rPr>
          <w:rFonts w:eastAsia="標楷體"/>
          <w:color w:val="000000" w:themeColor="text1"/>
          <w:kern w:val="0"/>
        </w:rPr>
        <w:tab/>
        <w:t xml:space="preserve">Each evaluation task force may nominate faculty members with outstanding teaching or research performance as candidates for the University’s Outstanding Teaching Award, Outstanding Research Award, Young Teacher Research Award, or Outstanding Service Award. </w:t>
      </w:r>
      <w:r w:rsidRPr="00DB1566">
        <w:rPr>
          <w:rFonts w:eastAsia="標楷體"/>
          <w:color w:val="000000" w:themeColor="text1"/>
        </w:rPr>
        <w:t xml:space="preserve"> Each college and department (graduate institute) can also establish their own award measures based on the evaluation results. </w:t>
      </w:r>
    </w:p>
    <w:p w14:paraId="6D5BEB5A" w14:textId="77777777" w:rsidR="004E6458" w:rsidRPr="00DB1566" w:rsidRDefault="00153488" w:rsidP="004E6458">
      <w:pPr>
        <w:adjustRightInd w:val="0"/>
        <w:snapToGrid w:val="0"/>
        <w:ind w:left="1200" w:hangingChars="500" w:hanging="1200"/>
        <w:rPr>
          <w:rFonts w:eastAsia="標楷體"/>
          <w:color w:val="000000" w:themeColor="text1"/>
        </w:rPr>
      </w:pPr>
      <w:r w:rsidRPr="00DB1566">
        <w:rPr>
          <w:rFonts w:eastAsia="標楷體"/>
          <w:color w:val="000000" w:themeColor="text1"/>
        </w:rPr>
        <w:t>第八條</w:t>
      </w:r>
      <w:r w:rsidRPr="00DB1566">
        <w:rPr>
          <w:rFonts w:eastAsia="標楷體"/>
          <w:color w:val="000000" w:themeColor="text1"/>
        </w:rPr>
        <w:tab/>
      </w:r>
      <w:r w:rsidRPr="00DB1566">
        <w:rPr>
          <w:rFonts w:eastAsia="標楷體"/>
          <w:color w:val="000000" w:themeColor="text1"/>
        </w:rPr>
        <w:t>第一次未通過評鑑教師，應於六月三十日前向所屬系所提出改善計畫。系所應做適當協助與輔導，必要時得依行政程序簽請相關單位協助之，</w:t>
      </w:r>
      <w:proofErr w:type="gramStart"/>
      <w:r w:rsidRPr="00DB1566">
        <w:rPr>
          <w:rFonts w:eastAsia="標楷體"/>
          <w:color w:val="000000" w:themeColor="text1"/>
        </w:rPr>
        <w:t>一</w:t>
      </w:r>
      <w:proofErr w:type="gramEnd"/>
      <w:r w:rsidRPr="00DB1566">
        <w:rPr>
          <w:rFonts w:eastAsia="標楷體"/>
          <w:color w:val="000000" w:themeColor="text1"/>
        </w:rPr>
        <w:t>年後應接受「再評鑑」。</w:t>
      </w:r>
    </w:p>
    <w:p w14:paraId="062D1B05" w14:textId="49F41F5A" w:rsidR="00153488" w:rsidRPr="00DB1566" w:rsidRDefault="00E62E22" w:rsidP="004E6458">
      <w:pPr>
        <w:adjustRightInd w:val="0"/>
        <w:snapToGrid w:val="0"/>
        <w:ind w:left="1200" w:hangingChars="500" w:hanging="1200"/>
        <w:rPr>
          <w:rFonts w:eastAsia="標楷體"/>
          <w:color w:val="000000" w:themeColor="text1"/>
        </w:rPr>
      </w:pPr>
      <w:r w:rsidRPr="00DB1566">
        <w:rPr>
          <w:rFonts w:eastAsia="標楷體"/>
          <w:color w:val="000000" w:themeColor="text1"/>
          <w:kern w:val="0"/>
        </w:rPr>
        <w:t xml:space="preserve"> Article 8</w:t>
      </w:r>
      <w:r w:rsidRPr="00DB1566">
        <w:rPr>
          <w:rFonts w:eastAsia="標楷體"/>
          <w:color w:val="000000" w:themeColor="text1"/>
          <w:kern w:val="0"/>
        </w:rPr>
        <w:tab/>
        <w:t xml:space="preserve">Faculty members who fail the evaluation for the first time shall submit an improvement plan to their academic program by June 30. The academic program shall provide appropriate assistance and guidance and may, if necessary, refer such faculty members to the relevant unit for assistance in accordance with administrative procedures. Such faculty members shall be subject to a re-evaluation in the following year. </w:t>
      </w:r>
    </w:p>
    <w:p w14:paraId="07D72154" w14:textId="77777777" w:rsidR="004E6458" w:rsidRPr="00DB1566" w:rsidRDefault="00153488" w:rsidP="004E6458">
      <w:pPr>
        <w:adjustRightInd w:val="0"/>
        <w:snapToGrid w:val="0"/>
        <w:ind w:left="1202"/>
        <w:rPr>
          <w:rFonts w:eastAsia="標楷體"/>
          <w:color w:val="000000" w:themeColor="text1"/>
          <w:kern w:val="0"/>
        </w:rPr>
      </w:pPr>
      <w:r w:rsidRPr="00DB1566">
        <w:rPr>
          <w:rFonts w:eastAsia="標楷體"/>
          <w:color w:val="000000" w:themeColor="text1"/>
          <w:kern w:val="0"/>
        </w:rPr>
        <w:t>教師接受任何一次「再評鑑」之結果，如果仍然未達通過之標準，除了應繼續接受「再評鑑」之外，各系（所）應要求該教師再提改善計畫並做適當之輔導。必要時，得請相關單位協助之。</w:t>
      </w:r>
    </w:p>
    <w:p w14:paraId="0B722F90" w14:textId="7E8FB178" w:rsidR="00153488" w:rsidRPr="00DB1566" w:rsidRDefault="004E6458" w:rsidP="004E6458">
      <w:pPr>
        <w:adjustRightInd w:val="0"/>
        <w:snapToGrid w:val="0"/>
        <w:ind w:left="1202"/>
        <w:rPr>
          <w:rFonts w:eastAsia="標楷體"/>
          <w:color w:val="000000" w:themeColor="text1"/>
        </w:rPr>
      </w:pPr>
      <w:r w:rsidRPr="00DB1566">
        <w:rPr>
          <w:rFonts w:eastAsia="標楷體"/>
          <w:color w:val="000000" w:themeColor="text1"/>
          <w:kern w:val="0"/>
        </w:rPr>
        <w:t>If a faculty member fails to meet the passing standard in any re-evaluation, they shall not only continue to undergo re-evaluation but their department (graduate institute) shall also require the faculty member to submit an improvement plan and provide appropriate guidance. Intervention from relevant units may be requested if necessary.</w:t>
      </w:r>
    </w:p>
    <w:p w14:paraId="48BBD487" w14:textId="77777777" w:rsidR="004E6458" w:rsidRPr="00DB1566" w:rsidRDefault="00153488" w:rsidP="004E6458">
      <w:pPr>
        <w:adjustRightInd w:val="0"/>
        <w:snapToGrid w:val="0"/>
        <w:ind w:left="1200" w:hangingChars="500" w:hanging="1200"/>
        <w:rPr>
          <w:rFonts w:eastAsia="標楷體"/>
          <w:color w:val="000000" w:themeColor="text1"/>
        </w:rPr>
      </w:pPr>
      <w:r w:rsidRPr="00DB1566">
        <w:rPr>
          <w:rFonts w:eastAsia="標楷體"/>
          <w:color w:val="000000" w:themeColor="text1"/>
        </w:rPr>
        <w:t>第九條</w:t>
      </w:r>
      <w:r w:rsidRPr="00DB1566">
        <w:rPr>
          <w:rFonts w:eastAsia="標楷體"/>
          <w:color w:val="000000" w:themeColor="text1"/>
        </w:rPr>
        <w:tab/>
      </w:r>
      <w:r w:rsidRPr="00DB1566">
        <w:rPr>
          <w:rFonts w:eastAsia="標楷體"/>
          <w:color w:val="000000" w:themeColor="text1"/>
        </w:rPr>
        <w:t>經過「再評鑑」仍未達通過標準之教師，各學院應儘速提院（中心、室）教師評審委員會審議</w:t>
      </w:r>
      <w:proofErr w:type="gramStart"/>
      <w:r w:rsidRPr="00DB1566">
        <w:rPr>
          <w:rFonts w:eastAsia="標楷體"/>
          <w:color w:val="000000" w:themeColor="text1"/>
        </w:rPr>
        <w:t>後提校教師</w:t>
      </w:r>
      <w:proofErr w:type="gramEnd"/>
      <w:r w:rsidRPr="00DB1566">
        <w:rPr>
          <w:rFonts w:eastAsia="標楷體"/>
          <w:color w:val="000000" w:themeColor="text1"/>
        </w:rPr>
        <w:t>評審委員會。校教師評審委員會應在六月三十日前針對未能通過之原因，議決適當之處理方式。如須處置，可</w:t>
      </w:r>
      <w:proofErr w:type="gramStart"/>
      <w:r w:rsidRPr="00DB1566">
        <w:rPr>
          <w:rFonts w:eastAsia="標楷體"/>
          <w:color w:val="000000" w:themeColor="text1"/>
        </w:rPr>
        <w:t>採</w:t>
      </w:r>
      <w:proofErr w:type="gramEnd"/>
      <w:r w:rsidRPr="00DB1566">
        <w:rPr>
          <w:rFonts w:eastAsia="標楷體"/>
          <w:color w:val="000000" w:themeColor="text1"/>
        </w:rPr>
        <w:t>下列一項或多項方式，且其處置時間以到該教師通過評鑑，再恢復其權益：</w:t>
      </w:r>
    </w:p>
    <w:p w14:paraId="36976940" w14:textId="1EA67C80" w:rsidR="00153488" w:rsidRPr="00DB1566" w:rsidRDefault="00E62E22" w:rsidP="004E6458">
      <w:pPr>
        <w:adjustRightInd w:val="0"/>
        <w:snapToGrid w:val="0"/>
        <w:ind w:left="1200" w:hangingChars="500" w:hanging="1200"/>
        <w:rPr>
          <w:rFonts w:eastAsia="標楷體"/>
          <w:color w:val="000000" w:themeColor="text1"/>
        </w:rPr>
      </w:pPr>
      <w:r w:rsidRPr="00DB1566">
        <w:rPr>
          <w:rFonts w:eastAsia="標楷體"/>
          <w:color w:val="000000" w:themeColor="text1"/>
          <w:kern w:val="0"/>
        </w:rPr>
        <w:t xml:space="preserve"> Article 9</w:t>
      </w:r>
      <w:r w:rsidRPr="00DB1566">
        <w:rPr>
          <w:rFonts w:eastAsia="標楷體"/>
          <w:color w:val="000000" w:themeColor="text1"/>
          <w:kern w:val="0"/>
        </w:rPr>
        <w:tab/>
        <w:t xml:space="preserve">Faculty members who still fail to meet the passing standard after re-evaluation shall be promptly referred by their respective colleges to the College (Center or Office) Faculty Evaluation Committee for deliberation, and subsequently to the University Faculty Evaluation Committee. </w:t>
      </w:r>
      <w:r w:rsidRPr="00DB1566">
        <w:rPr>
          <w:rFonts w:eastAsia="標楷體"/>
          <w:color w:val="000000" w:themeColor="text1"/>
        </w:rPr>
        <w:t xml:space="preserve">The University Faculty Evaluation Committee shall, by June 30, deliberate on the reasons for failure to meet the passing standard and decide on appropriate handling methods. One or more of the following disciplinary actions may be taken if necessary, and shall remain in effect until the faculty member in question passes the evaluation, at which time their rights shall be reinstated: </w:t>
      </w:r>
    </w:p>
    <w:p w14:paraId="072C4868"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一、</w:t>
      </w:r>
      <w:r w:rsidRPr="00DB1566">
        <w:rPr>
          <w:rFonts w:eastAsia="標楷體"/>
          <w:color w:val="000000" w:themeColor="text1"/>
          <w:kern w:val="0"/>
        </w:rPr>
        <w:tab/>
      </w:r>
      <w:r w:rsidRPr="00DB1566">
        <w:rPr>
          <w:rFonts w:eastAsia="標楷體"/>
          <w:color w:val="000000" w:themeColor="text1"/>
          <w:kern w:val="0"/>
        </w:rPr>
        <w:t>下年度不准申請休假研究。</w:t>
      </w:r>
    </w:p>
    <w:p w14:paraId="69AD9018" w14:textId="7D0D15D6"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w:t>
      </w:r>
      <w:r w:rsidRPr="00DB1566">
        <w:rPr>
          <w:rFonts w:eastAsia="標楷體"/>
          <w:color w:val="000000" w:themeColor="text1"/>
          <w:kern w:val="0"/>
        </w:rPr>
        <w:tab/>
        <w:t>No sabbatical leave in the following year.</w:t>
      </w:r>
    </w:p>
    <w:p w14:paraId="641D60C8"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二、</w:t>
      </w:r>
      <w:r w:rsidRPr="00DB1566">
        <w:rPr>
          <w:rFonts w:eastAsia="標楷體"/>
          <w:color w:val="000000" w:themeColor="text1"/>
          <w:kern w:val="0"/>
        </w:rPr>
        <w:tab/>
      </w:r>
      <w:r w:rsidRPr="00DB1566">
        <w:rPr>
          <w:rFonts w:eastAsia="標楷體"/>
          <w:color w:val="000000" w:themeColor="text1"/>
          <w:kern w:val="0"/>
        </w:rPr>
        <w:t>下年度不准在校內、外兼職。</w:t>
      </w:r>
    </w:p>
    <w:p w14:paraId="427DCC60" w14:textId="3FD92C96"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II.</w:t>
      </w:r>
      <w:r w:rsidRPr="00DB1566">
        <w:rPr>
          <w:rFonts w:eastAsia="標楷體"/>
          <w:color w:val="000000" w:themeColor="text1"/>
          <w:kern w:val="0"/>
        </w:rPr>
        <w:tab/>
        <w:t>No part-time engagements on or off campus in the following year.</w:t>
      </w:r>
    </w:p>
    <w:p w14:paraId="6369BC13"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lastRenderedPageBreak/>
        <w:t>三、</w:t>
      </w:r>
      <w:r w:rsidRPr="00DB1566">
        <w:rPr>
          <w:rFonts w:eastAsia="標楷體"/>
          <w:color w:val="000000" w:themeColor="text1"/>
          <w:kern w:val="0"/>
        </w:rPr>
        <w:tab/>
      </w:r>
      <w:r w:rsidRPr="00DB1566">
        <w:rPr>
          <w:rFonts w:eastAsia="標楷體"/>
          <w:color w:val="000000" w:themeColor="text1"/>
          <w:kern w:val="0"/>
        </w:rPr>
        <w:t>下年度不准在校外兼課。</w:t>
      </w:r>
    </w:p>
    <w:p w14:paraId="6F1648AD" w14:textId="055AF7A5"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III.</w:t>
      </w:r>
      <w:r w:rsidRPr="00DB1566">
        <w:rPr>
          <w:rFonts w:eastAsia="標楷體"/>
          <w:color w:val="000000" w:themeColor="text1"/>
          <w:kern w:val="0"/>
        </w:rPr>
        <w:tab/>
        <w:t>No part-time teaching off campus in the following year.</w:t>
      </w:r>
    </w:p>
    <w:p w14:paraId="56E192AA"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四、</w:t>
      </w:r>
      <w:r w:rsidRPr="00DB1566">
        <w:rPr>
          <w:rFonts w:eastAsia="標楷體"/>
          <w:color w:val="000000" w:themeColor="text1"/>
          <w:kern w:val="0"/>
        </w:rPr>
        <w:tab/>
      </w:r>
      <w:r w:rsidRPr="00DB1566">
        <w:rPr>
          <w:rFonts w:eastAsia="標楷體"/>
          <w:color w:val="000000" w:themeColor="text1"/>
          <w:kern w:val="0"/>
        </w:rPr>
        <w:t>下年度不准借調。</w:t>
      </w:r>
    </w:p>
    <w:p w14:paraId="44EF11D4" w14:textId="578350ED"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IV.</w:t>
      </w:r>
      <w:r w:rsidRPr="00DB1566">
        <w:rPr>
          <w:rFonts w:eastAsia="標楷體"/>
          <w:color w:val="000000" w:themeColor="text1"/>
          <w:kern w:val="0"/>
        </w:rPr>
        <w:tab/>
        <w:t>No secondment in the following year.</w:t>
      </w:r>
    </w:p>
    <w:p w14:paraId="5F680B86"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五、</w:t>
      </w:r>
      <w:r w:rsidRPr="00DB1566">
        <w:rPr>
          <w:rFonts w:eastAsia="標楷體"/>
          <w:color w:val="000000" w:themeColor="text1"/>
          <w:kern w:val="0"/>
        </w:rPr>
        <w:tab/>
      </w:r>
      <w:r w:rsidRPr="00DB1566">
        <w:rPr>
          <w:rFonts w:eastAsia="標楷體"/>
          <w:color w:val="000000" w:themeColor="text1"/>
          <w:kern w:val="0"/>
        </w:rPr>
        <w:t>下年度減學術研究費百分之五至百分之十。</w:t>
      </w:r>
    </w:p>
    <w:p w14:paraId="228BCAF5" w14:textId="0841A56C"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V.</w:t>
      </w:r>
      <w:r w:rsidRPr="00DB1566">
        <w:rPr>
          <w:rFonts w:eastAsia="標楷體"/>
          <w:color w:val="000000" w:themeColor="text1"/>
          <w:kern w:val="0"/>
        </w:rPr>
        <w:tab/>
        <w:t>Reduction of academic research funding by 5% to 10% in the following year.</w:t>
      </w:r>
    </w:p>
    <w:p w14:paraId="158131ED"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六、</w:t>
      </w:r>
      <w:r w:rsidRPr="00DB1566">
        <w:rPr>
          <w:rFonts w:eastAsia="標楷體"/>
          <w:color w:val="000000" w:themeColor="text1"/>
          <w:kern w:val="0"/>
        </w:rPr>
        <w:tab/>
      </w:r>
      <w:r w:rsidRPr="00DB1566">
        <w:rPr>
          <w:rFonts w:eastAsia="標楷體"/>
          <w:color w:val="000000" w:themeColor="text1"/>
          <w:kern w:val="0"/>
        </w:rPr>
        <w:t>下年度不准申請升等或改聘。</w:t>
      </w:r>
    </w:p>
    <w:p w14:paraId="67F5E3C8" w14:textId="13BE42FF"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VI.</w:t>
      </w:r>
      <w:r w:rsidRPr="00DB1566">
        <w:rPr>
          <w:rFonts w:eastAsia="標楷體"/>
          <w:color w:val="000000" w:themeColor="text1"/>
          <w:kern w:val="0"/>
        </w:rPr>
        <w:tab/>
        <w:t>No promotions or changes of appointment in the following year.</w:t>
      </w:r>
    </w:p>
    <w:p w14:paraId="5E6BE3F2"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七、</w:t>
      </w:r>
      <w:r w:rsidRPr="00DB1566">
        <w:rPr>
          <w:rFonts w:eastAsia="標楷體"/>
          <w:color w:val="000000" w:themeColor="text1"/>
          <w:kern w:val="0"/>
        </w:rPr>
        <w:tab/>
      </w:r>
      <w:r w:rsidRPr="00DB1566">
        <w:rPr>
          <w:rFonts w:eastAsia="標楷體"/>
          <w:color w:val="000000" w:themeColor="text1"/>
          <w:kern w:val="0"/>
        </w:rPr>
        <w:t>當年度不發給年終獎金或減少年終獎金之額度。</w:t>
      </w:r>
    </w:p>
    <w:p w14:paraId="5F305422" w14:textId="34FBA855"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VII.</w:t>
      </w:r>
      <w:r w:rsidRPr="00DB1566">
        <w:rPr>
          <w:rFonts w:eastAsia="標楷體"/>
          <w:color w:val="000000" w:themeColor="text1"/>
          <w:kern w:val="0"/>
        </w:rPr>
        <w:tab/>
        <w:t>No or a reduced year-end bonus in the current year.</w:t>
      </w:r>
    </w:p>
    <w:p w14:paraId="5EE78D92"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八</w:t>
      </w:r>
      <w:r w:rsidRPr="00DB1566">
        <w:rPr>
          <w:rFonts w:eastAsia="標楷體"/>
          <w:color w:val="000000" w:themeColor="text1"/>
        </w:rPr>
        <w:t>、</w:t>
      </w:r>
      <w:r w:rsidRPr="00DB1566">
        <w:rPr>
          <w:rFonts w:eastAsia="標楷體"/>
          <w:color w:val="000000" w:themeColor="text1"/>
        </w:rPr>
        <w:tab/>
      </w:r>
      <w:r w:rsidRPr="00DB1566">
        <w:rPr>
          <w:rFonts w:eastAsia="標楷體"/>
          <w:color w:val="000000" w:themeColor="text1"/>
          <w:kern w:val="0"/>
        </w:rPr>
        <w:t>當年度不予晉支薪俸。</w:t>
      </w:r>
    </w:p>
    <w:p w14:paraId="5C188C71" w14:textId="28A83DCD"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VIII.</w:t>
      </w:r>
      <w:r w:rsidRPr="00DB1566">
        <w:rPr>
          <w:rFonts w:eastAsia="標楷體"/>
          <w:color w:val="000000" w:themeColor="text1"/>
          <w:kern w:val="0"/>
        </w:rPr>
        <w:tab/>
        <w:t>No pay raise in the current year.</w:t>
      </w:r>
    </w:p>
    <w:p w14:paraId="0C0F9369"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九、</w:t>
      </w:r>
      <w:r w:rsidRPr="00DB1566">
        <w:rPr>
          <w:rFonts w:eastAsia="標楷體"/>
          <w:color w:val="000000" w:themeColor="text1"/>
          <w:kern w:val="0"/>
        </w:rPr>
        <w:tab/>
      </w:r>
      <w:r w:rsidRPr="00DB1566">
        <w:rPr>
          <w:rFonts w:eastAsia="標楷體"/>
          <w:color w:val="000000" w:themeColor="text1"/>
          <w:kern w:val="0"/>
        </w:rPr>
        <w:t>下年度停聘。</w:t>
      </w:r>
    </w:p>
    <w:p w14:paraId="34D0C110" w14:textId="55AA4233"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IX.</w:t>
      </w:r>
      <w:r w:rsidRPr="00DB1566">
        <w:rPr>
          <w:rFonts w:eastAsia="標楷體"/>
          <w:color w:val="000000" w:themeColor="text1"/>
          <w:kern w:val="0"/>
        </w:rPr>
        <w:tab/>
        <w:t>Suspension of appointment in the following year.</w:t>
      </w:r>
    </w:p>
    <w:p w14:paraId="5D03738A" w14:textId="77777777" w:rsidR="004E6458" w:rsidRPr="00DB1566" w:rsidRDefault="00153488"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十、</w:t>
      </w:r>
      <w:r w:rsidRPr="00DB1566">
        <w:rPr>
          <w:rFonts w:eastAsia="標楷體"/>
          <w:color w:val="000000" w:themeColor="text1"/>
          <w:kern w:val="0"/>
        </w:rPr>
        <w:tab/>
      </w:r>
      <w:proofErr w:type="gramStart"/>
      <w:r w:rsidRPr="00DB1566">
        <w:rPr>
          <w:rFonts w:eastAsia="標楷體"/>
          <w:color w:val="000000" w:themeColor="text1"/>
          <w:kern w:val="0"/>
        </w:rPr>
        <w:t>一</w:t>
      </w:r>
      <w:proofErr w:type="gramEnd"/>
      <w:r w:rsidRPr="00DB1566">
        <w:rPr>
          <w:rFonts w:eastAsia="標楷體"/>
          <w:color w:val="000000" w:themeColor="text1"/>
          <w:kern w:val="0"/>
        </w:rPr>
        <w:t>年後不予續聘。</w:t>
      </w:r>
    </w:p>
    <w:p w14:paraId="478B5FE0" w14:textId="7D0DBD66" w:rsidR="00153488" w:rsidRPr="00DB1566" w:rsidRDefault="00E62E22" w:rsidP="00E2109F">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X.</w:t>
      </w:r>
      <w:r w:rsidRPr="00DB1566">
        <w:rPr>
          <w:rFonts w:eastAsia="標楷體"/>
          <w:color w:val="000000" w:themeColor="text1"/>
          <w:kern w:val="0"/>
        </w:rPr>
        <w:tab/>
        <w:t>Non-renewal of appointment in the following year.</w:t>
      </w:r>
    </w:p>
    <w:p w14:paraId="36390F69" w14:textId="77777777" w:rsidR="004E6458" w:rsidRPr="00DB1566" w:rsidRDefault="00153488" w:rsidP="004E6458">
      <w:pPr>
        <w:adjustRightInd w:val="0"/>
        <w:snapToGrid w:val="0"/>
        <w:ind w:left="1202"/>
        <w:rPr>
          <w:rFonts w:eastAsia="標楷體"/>
          <w:color w:val="000000" w:themeColor="text1"/>
          <w:kern w:val="0"/>
        </w:rPr>
      </w:pPr>
      <w:r w:rsidRPr="00DB1566">
        <w:rPr>
          <w:rFonts w:eastAsia="標楷體"/>
          <w:color w:val="000000" w:themeColor="text1"/>
          <w:kern w:val="0"/>
        </w:rPr>
        <w:t>教師及舊制助教經二次「再評鑑」仍未達通過標準者，應不予續聘。新聘講師、助理教授、副教授應依下列所定之期限內完成升等，但依本校進用專案計畫教學人員及研究人員聘任辦法第十三條第二項規定聘任者不在此限：</w:t>
      </w:r>
    </w:p>
    <w:p w14:paraId="48E9DEC7" w14:textId="17AF106B" w:rsidR="00153488" w:rsidRPr="00DB1566" w:rsidRDefault="004E6458" w:rsidP="004E6458">
      <w:pPr>
        <w:adjustRightInd w:val="0"/>
        <w:snapToGrid w:val="0"/>
        <w:ind w:left="1202"/>
        <w:rPr>
          <w:rFonts w:eastAsia="標楷體"/>
          <w:color w:val="000000" w:themeColor="text1"/>
        </w:rPr>
      </w:pPr>
      <w:r w:rsidRPr="00DB1566">
        <w:rPr>
          <w:rFonts w:eastAsia="標楷體"/>
          <w:color w:val="000000" w:themeColor="text1"/>
          <w:kern w:val="0"/>
        </w:rPr>
        <w:t>Faculty members and old-system teaching assistants shall be subject to non-renewal of appointment upon failure to meet the passing standard after two re-evaluations. Except for those appointed under the provisions of Article 13, Paragraph 2 of the University’s Regulations Governing the Appointment of Project Teachers and Researchers, all newly appointed instructors, assistant professors, and associate professors shall obtain a promotion by the following deadlines:</w:t>
      </w:r>
    </w:p>
    <w:p w14:paraId="7C8D51F6" w14:textId="77777777" w:rsidR="004E6458" w:rsidRPr="00DB1566" w:rsidRDefault="00153488"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一、</w:t>
      </w:r>
      <w:r w:rsidRPr="00DB1566">
        <w:rPr>
          <w:rFonts w:eastAsia="標楷體"/>
          <w:color w:val="000000" w:themeColor="text1"/>
          <w:kern w:val="0"/>
        </w:rPr>
        <w:tab/>
      </w:r>
      <w:r w:rsidRPr="00DB1566">
        <w:rPr>
          <w:rFonts w:eastAsia="標楷體"/>
          <w:color w:val="000000" w:themeColor="text1"/>
          <w:kern w:val="0"/>
        </w:rPr>
        <w:t>民國九十一年五月十日本校訂定教師評鑑準則前聘任之講師與助理教授不受限期升等之規範。</w:t>
      </w:r>
    </w:p>
    <w:p w14:paraId="4F14604B" w14:textId="0C220297" w:rsidR="00153488" w:rsidRPr="00DB1566" w:rsidRDefault="00C2682C"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I.</w:t>
      </w:r>
      <w:r w:rsidRPr="00DB1566">
        <w:rPr>
          <w:rFonts w:eastAsia="標楷體"/>
          <w:color w:val="000000" w:themeColor="text1"/>
          <w:kern w:val="0"/>
        </w:rPr>
        <w:tab/>
        <w:t>Instructors and assistant professors appointed prior to the formulation of the University’s Faculty Evaluation Guidelines on May 10, 2002, shall be exempt from deadlines for promotion.</w:t>
      </w:r>
    </w:p>
    <w:p w14:paraId="102358C8" w14:textId="77777777" w:rsidR="004E6458" w:rsidRPr="00DB1566" w:rsidRDefault="00153488"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二、</w:t>
      </w:r>
      <w:r w:rsidRPr="00DB1566">
        <w:rPr>
          <w:rFonts w:eastAsia="標楷體"/>
          <w:color w:val="000000" w:themeColor="text1"/>
          <w:kern w:val="0"/>
        </w:rPr>
        <w:tab/>
      </w:r>
      <w:r w:rsidRPr="00DB1566">
        <w:rPr>
          <w:rFonts w:eastAsia="標楷體"/>
          <w:color w:val="000000" w:themeColor="text1"/>
          <w:kern w:val="0"/>
        </w:rPr>
        <w:t>民國九十一年五月十一日起至民國九十四年五月十三日</w:t>
      </w:r>
      <w:proofErr w:type="gramStart"/>
      <w:r w:rsidRPr="00DB1566">
        <w:rPr>
          <w:rFonts w:eastAsia="標楷體"/>
          <w:color w:val="000000" w:themeColor="text1"/>
          <w:kern w:val="0"/>
        </w:rPr>
        <w:t>止</w:t>
      </w:r>
      <w:proofErr w:type="gramEnd"/>
      <w:r w:rsidRPr="00DB1566">
        <w:rPr>
          <w:rFonts w:eastAsia="標楷體"/>
          <w:color w:val="000000" w:themeColor="text1"/>
          <w:kern w:val="0"/>
        </w:rPr>
        <w:t>聘任之講師與助理教授，超過十年未能升等且經二次「再評鑑」仍未達標準者，不予續聘。</w:t>
      </w:r>
    </w:p>
    <w:p w14:paraId="5BBEFB94" w14:textId="668B97D4" w:rsidR="00153488" w:rsidRPr="00DB1566" w:rsidRDefault="00C2682C"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II.</w:t>
      </w:r>
      <w:r w:rsidRPr="00DB1566">
        <w:rPr>
          <w:rFonts w:eastAsia="標楷體"/>
          <w:color w:val="000000" w:themeColor="text1"/>
          <w:kern w:val="0"/>
        </w:rPr>
        <w:tab/>
        <w:t>Instructors and assistant professors appointed on or between May 11, 2002, and May 13, 2005, who are unable to obtain a promotion for more than 10 years and fail to meet the standard after two re-evaluations shall be subject to non-renewal of appointment.</w:t>
      </w:r>
    </w:p>
    <w:p w14:paraId="63F5A7F1" w14:textId="77777777" w:rsidR="004E6458" w:rsidRPr="00DB1566" w:rsidRDefault="00153488"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三、</w:t>
      </w:r>
      <w:r w:rsidRPr="00DB1566">
        <w:rPr>
          <w:rFonts w:eastAsia="標楷體"/>
          <w:color w:val="000000" w:themeColor="text1"/>
          <w:kern w:val="0"/>
        </w:rPr>
        <w:tab/>
      </w:r>
      <w:r w:rsidRPr="00DB1566">
        <w:rPr>
          <w:rFonts w:eastAsia="標楷體"/>
          <w:color w:val="000000" w:themeColor="text1"/>
          <w:kern w:val="0"/>
        </w:rPr>
        <w:t>民國九十四年五月十四日起至民國一百零三年一月三十一日</w:t>
      </w:r>
      <w:proofErr w:type="gramStart"/>
      <w:r w:rsidRPr="00DB1566">
        <w:rPr>
          <w:rFonts w:eastAsia="標楷體"/>
          <w:color w:val="000000" w:themeColor="text1"/>
          <w:kern w:val="0"/>
        </w:rPr>
        <w:t>止</w:t>
      </w:r>
      <w:proofErr w:type="gramEnd"/>
      <w:r w:rsidRPr="00DB1566">
        <w:rPr>
          <w:rFonts w:eastAsia="標楷體"/>
          <w:color w:val="000000" w:themeColor="text1"/>
          <w:kern w:val="0"/>
        </w:rPr>
        <w:t>聘任之講師與助理教授超過八年未升等或經二次「再評鑑」仍未達標準者，不予續聘。</w:t>
      </w:r>
    </w:p>
    <w:p w14:paraId="48C650E7" w14:textId="6747F833" w:rsidR="00153488" w:rsidRPr="00DB1566" w:rsidRDefault="00C2682C"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III.</w:t>
      </w:r>
      <w:r w:rsidRPr="00DB1566">
        <w:rPr>
          <w:rFonts w:eastAsia="標楷體"/>
          <w:color w:val="000000" w:themeColor="text1"/>
          <w:kern w:val="0"/>
        </w:rPr>
        <w:tab/>
        <w:t>Instructors and assistant professors appointed on or between May 14, 2005, and January 31, 2014, who are unable to obtain a promotion for more than eight years or fail to meet the standard after two re-evaluations shall be subject to non-renewal of appointment.</w:t>
      </w:r>
    </w:p>
    <w:p w14:paraId="2E73651D" w14:textId="77777777" w:rsidR="004E6458" w:rsidRPr="00DB1566" w:rsidRDefault="00153488"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四、</w:t>
      </w:r>
      <w:r w:rsidRPr="00DB1566">
        <w:rPr>
          <w:rFonts w:eastAsia="標楷體"/>
          <w:color w:val="000000" w:themeColor="text1"/>
          <w:kern w:val="0"/>
        </w:rPr>
        <w:tab/>
      </w:r>
      <w:r w:rsidRPr="00DB1566">
        <w:rPr>
          <w:rFonts w:eastAsia="標楷體"/>
          <w:color w:val="000000" w:themeColor="text1"/>
          <w:kern w:val="0"/>
        </w:rPr>
        <w:t>民國一百零三年二月一日起聘任之講師、助理教授及副教授，須於六年內申請升等並獲審查通過，未通過者，</w:t>
      </w:r>
      <w:proofErr w:type="gramStart"/>
      <w:r w:rsidRPr="00DB1566">
        <w:rPr>
          <w:rFonts w:eastAsia="標楷體"/>
          <w:color w:val="000000" w:themeColor="text1"/>
          <w:kern w:val="0"/>
        </w:rPr>
        <w:t>不予晉薪</w:t>
      </w:r>
      <w:proofErr w:type="gramEnd"/>
      <w:r w:rsidRPr="00DB1566">
        <w:rPr>
          <w:rFonts w:eastAsia="標楷體"/>
          <w:color w:val="000000" w:themeColor="text1"/>
          <w:kern w:val="0"/>
        </w:rPr>
        <w:t>。第七年期滿仍未獲升等審查通過者不予續聘。</w:t>
      </w:r>
    </w:p>
    <w:p w14:paraId="7B1A9C95" w14:textId="34A982A2" w:rsidR="00153488" w:rsidRPr="00DB1566" w:rsidRDefault="00C2682C" w:rsidP="00E2109F">
      <w:pPr>
        <w:adjustRightInd w:val="0"/>
        <w:snapToGrid w:val="0"/>
        <w:ind w:leftChars="500" w:left="2126" w:hangingChars="386" w:hanging="926"/>
        <w:rPr>
          <w:rFonts w:eastAsia="標楷體"/>
          <w:color w:val="000000" w:themeColor="text1"/>
          <w:kern w:val="0"/>
        </w:rPr>
      </w:pPr>
      <w:r w:rsidRPr="00DB1566">
        <w:rPr>
          <w:rFonts w:eastAsia="標楷體"/>
          <w:color w:val="000000" w:themeColor="text1"/>
          <w:kern w:val="0"/>
        </w:rPr>
        <w:t>IV.</w:t>
      </w:r>
      <w:r w:rsidRPr="00DB1566">
        <w:rPr>
          <w:rFonts w:eastAsia="標楷體"/>
          <w:color w:val="000000" w:themeColor="text1"/>
          <w:kern w:val="0"/>
        </w:rPr>
        <w:tab/>
        <w:t>Instructors, assistant professors, and associate professors appointed on or after February 1, 2014, must apply for promotion and obtain approval through review within six years; those who fail to pass the review shall be ineligible for a pay raise. Those who fail to pass the promotion review upon the completion of the seventh year shall be subject to non-renewal of appointment.</w:t>
      </w:r>
    </w:p>
    <w:p w14:paraId="7441D95B"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前項規定</w:t>
      </w:r>
      <w:proofErr w:type="gramStart"/>
      <w:r w:rsidRPr="00DB1566">
        <w:rPr>
          <w:rFonts w:eastAsia="標楷體"/>
          <w:color w:val="000000" w:themeColor="text1"/>
        </w:rPr>
        <w:t>採</w:t>
      </w:r>
      <w:proofErr w:type="gramEnd"/>
      <w:r w:rsidRPr="00DB1566">
        <w:rPr>
          <w:rFonts w:eastAsia="標楷體"/>
          <w:color w:val="000000" w:themeColor="text1"/>
        </w:rPr>
        <w:t>學年制，未於八月應聘之學年，不計入升等年限計算，符合前項第二款至第</w:t>
      </w:r>
      <w:r w:rsidRPr="00DB1566">
        <w:rPr>
          <w:rFonts w:eastAsia="標楷體"/>
          <w:color w:val="000000" w:themeColor="text1"/>
        </w:rPr>
        <w:lastRenderedPageBreak/>
        <w:t>四款者，提經各級教師評審委員會委員三分之二以上出席及出席委員三分之二以上之審議通過，</w:t>
      </w:r>
      <w:proofErr w:type="gramStart"/>
      <w:r w:rsidRPr="00DB1566">
        <w:rPr>
          <w:rFonts w:eastAsia="標楷體"/>
          <w:color w:val="000000" w:themeColor="text1"/>
        </w:rPr>
        <w:t>於聘</w:t>
      </w:r>
      <w:proofErr w:type="gramEnd"/>
      <w:r w:rsidRPr="00DB1566">
        <w:rPr>
          <w:rFonts w:eastAsia="標楷體"/>
          <w:color w:val="000000" w:themeColor="text1"/>
        </w:rPr>
        <w:t>約期滿不予續聘，依行政程序報請教育部核准；教師限期升等已屆，除第二款通過評鑑或再評鑑者外，聘約期滿前不得提出升等之申請。</w:t>
      </w:r>
    </w:p>
    <w:p w14:paraId="46F60B32" w14:textId="2FDC4255"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The provision of the preceding paragraph shall be applied on an academic-year basis. For those not appointed in August, that academic year shall not be counted toward the promotion period. To issue a resolution of non-renewal of appointment for faculty members described in Subparagraphs 2 through 4 of the preceding paragraph, Faculty Evaluation Committees at all levels must convene with at least two-thirds of their members in attendance and vote with two-thirds of the attending members in concurrence. The resolution shall then be presented to the Ministry of Education for approval in accordance with administrative procedures. Faculty members whose promotion deadline has expired may not apply for promotion before the expiration of their contract, except for those who have passed the evaluation or re-evaluation as stipulated in Subparagraph 2.</w:t>
      </w:r>
    </w:p>
    <w:p w14:paraId="0D41BC13" w14:textId="77777777" w:rsidR="004E6458" w:rsidRPr="00DB1566" w:rsidRDefault="00153488" w:rsidP="004E6458">
      <w:pPr>
        <w:adjustRightInd w:val="0"/>
        <w:snapToGrid w:val="0"/>
        <w:ind w:leftChars="500" w:left="1200"/>
        <w:rPr>
          <w:rFonts w:eastAsia="標楷體"/>
          <w:color w:val="000000" w:themeColor="text1"/>
          <w:kern w:val="0"/>
        </w:rPr>
      </w:pPr>
      <w:r w:rsidRPr="00DB1566">
        <w:rPr>
          <w:rFonts w:eastAsia="標楷體"/>
          <w:color w:val="000000" w:themeColor="text1"/>
          <w:kern w:val="0"/>
        </w:rPr>
        <w:t>新聘講師、助理教授、副教授未依第二項第三款及第四款所定之</w:t>
      </w:r>
      <w:proofErr w:type="gramStart"/>
      <w:r w:rsidRPr="00DB1566">
        <w:rPr>
          <w:rFonts w:eastAsia="標楷體"/>
          <w:color w:val="000000" w:themeColor="text1"/>
          <w:kern w:val="0"/>
        </w:rPr>
        <w:t>之</w:t>
      </w:r>
      <w:proofErr w:type="gramEnd"/>
      <w:r w:rsidRPr="00DB1566">
        <w:rPr>
          <w:rFonts w:eastAsia="標楷體"/>
          <w:color w:val="000000" w:themeColor="text1"/>
          <w:kern w:val="0"/>
        </w:rPr>
        <w:t>期限內完成升等者</w:t>
      </w:r>
      <w:r w:rsidRPr="00DB1566">
        <w:rPr>
          <w:rFonts w:eastAsia="標楷體"/>
          <w:color w:val="000000" w:themeColor="text1"/>
        </w:rPr>
        <w:t>，除不予續聘外，教師尚得依第五項申請延長限期升等年限或依本校進用專案計畫教學人員及研究人員聘任辦法第十三條規定申請轉任專案教師</w:t>
      </w:r>
      <w:r w:rsidRPr="00DB1566">
        <w:rPr>
          <w:rFonts w:eastAsia="標楷體"/>
          <w:color w:val="000000" w:themeColor="text1"/>
          <w:kern w:val="0"/>
        </w:rPr>
        <w:t>。</w:t>
      </w:r>
    </w:p>
    <w:p w14:paraId="68185BCC" w14:textId="4649938E" w:rsidR="00153488" w:rsidRPr="00DB1566" w:rsidRDefault="00F71318" w:rsidP="004E6458">
      <w:pPr>
        <w:adjustRightInd w:val="0"/>
        <w:snapToGrid w:val="0"/>
        <w:ind w:leftChars="500" w:left="1200"/>
        <w:rPr>
          <w:rFonts w:eastAsia="標楷體"/>
          <w:color w:val="000000" w:themeColor="text1"/>
          <w:kern w:val="0"/>
        </w:rPr>
      </w:pPr>
      <w:r w:rsidRPr="00DB1566">
        <w:rPr>
          <w:rFonts w:eastAsia="標楷體"/>
          <w:color w:val="000000" w:themeColor="text1"/>
          <w:kern w:val="0"/>
        </w:rPr>
        <w:t>Any newly appointed instructors, assistant professors, and associate professors who are unable to complete promotion within the deadlines set forth in Paragraph 2, Subparagraphs 3 and 4 herein shall face non-renewal of appointment. However, they may still request an extension of the promotion deadline in accordance with Paragraph 5 herein or apply for a change of appointment to the position of project teacher pursuant to Article 13 of the University’s Regulations Governing the Appointment of Project Teachers and Researchers.</w:t>
      </w:r>
    </w:p>
    <w:p w14:paraId="53665B22"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本條第二項年資之計算，教師有下列情事之</w:t>
      </w:r>
      <w:proofErr w:type="gramStart"/>
      <w:r w:rsidRPr="00DB1566">
        <w:rPr>
          <w:rFonts w:eastAsia="標楷體"/>
          <w:color w:val="000000" w:themeColor="text1"/>
        </w:rPr>
        <w:t>一</w:t>
      </w:r>
      <w:proofErr w:type="gramEnd"/>
      <w:r w:rsidRPr="00DB1566">
        <w:rPr>
          <w:rFonts w:eastAsia="標楷體"/>
          <w:color w:val="000000" w:themeColor="text1"/>
        </w:rPr>
        <w:t>者，得申請延長升等年限，並提經各級教師評審委員會審議通過：</w:t>
      </w:r>
    </w:p>
    <w:p w14:paraId="09868AC3" w14:textId="0FEE59FD"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In calculating the seniority requirements in Paragraph 2 of this article, faculty members who meet any of the following conditions may apply for an extension of the promotion deadline, subject to review and approval by the Faculty Evaluation Committees at all levels:</w:t>
      </w:r>
    </w:p>
    <w:p w14:paraId="0BC465A4" w14:textId="77777777" w:rsidR="004E6458" w:rsidRPr="00DB1566" w:rsidRDefault="00153488"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rPr>
        <w:t>一、</w:t>
      </w:r>
      <w:r w:rsidRPr="00DB1566">
        <w:rPr>
          <w:rFonts w:eastAsia="標楷體"/>
          <w:color w:val="000000" w:themeColor="text1"/>
        </w:rPr>
        <w:tab/>
      </w:r>
      <w:r w:rsidRPr="00DB1566">
        <w:rPr>
          <w:rFonts w:eastAsia="標楷體"/>
          <w:color w:val="000000" w:themeColor="text1"/>
        </w:rPr>
        <w:t>因懷孕、生產、申請育嬰留職停薪、領有全民健康保險重大傷病卡或遭遇重大變故者，每次以延長二年為限，其中以重大傷病或遭遇重大變故申請者，同一事由以一次為限，並應</w:t>
      </w:r>
      <w:proofErr w:type="gramStart"/>
      <w:r w:rsidRPr="00DB1566">
        <w:rPr>
          <w:rFonts w:eastAsia="標楷體"/>
          <w:color w:val="000000" w:themeColor="text1"/>
        </w:rPr>
        <w:t>檢附足資</w:t>
      </w:r>
      <w:proofErr w:type="gramEnd"/>
      <w:r w:rsidRPr="00DB1566">
        <w:rPr>
          <w:rFonts w:eastAsia="標楷體"/>
          <w:color w:val="000000" w:themeColor="text1"/>
        </w:rPr>
        <w:t>佐證之資料及升等輔導計畫書，計畫書應載明延長升等年限期間之升等規劃。</w:t>
      </w:r>
    </w:p>
    <w:p w14:paraId="098612AA" w14:textId="593CA3D7" w:rsidR="00153488" w:rsidRPr="00DB1566" w:rsidRDefault="00F70403"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kern w:val="0"/>
        </w:rPr>
        <w:t xml:space="preserve"> I.</w:t>
      </w:r>
      <w:r w:rsidRPr="00DB1566">
        <w:rPr>
          <w:rFonts w:eastAsia="標楷體"/>
          <w:color w:val="000000" w:themeColor="text1"/>
          <w:kern w:val="0"/>
        </w:rPr>
        <w:tab/>
        <w:t xml:space="preserve">A two-year extension may be granted to faculty members who have been pregnant, given birth, been on unpaid maternity leave, hold a National Health Insurance certificate of major illness or injury, or have encountered a major accident. Faculty members may only request an extension once for each major illness or injury or encounter with a major accident. Faculty members shall submit supporting documentation and a promotion guidance plan, which shall specify the promotion plan for the duration of the extended promotion period. </w:t>
      </w:r>
    </w:p>
    <w:p w14:paraId="1840C525" w14:textId="77777777" w:rsidR="004E6458" w:rsidRPr="00DB1566" w:rsidRDefault="00153488"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rPr>
        <w:t>二、</w:t>
      </w:r>
      <w:r w:rsidRPr="00DB1566">
        <w:rPr>
          <w:rFonts w:eastAsia="標楷體"/>
          <w:color w:val="000000" w:themeColor="text1"/>
        </w:rPr>
        <w:tab/>
      </w:r>
      <w:r w:rsidRPr="00DB1566">
        <w:rPr>
          <w:rFonts w:eastAsia="標楷體"/>
          <w:color w:val="000000" w:themeColor="text1"/>
        </w:rPr>
        <w:t>因配偶有懷孕、生產者，每次至多延長一年。</w:t>
      </w:r>
    </w:p>
    <w:p w14:paraId="7786C398" w14:textId="08F85646" w:rsidR="00153488" w:rsidRPr="00DB1566" w:rsidRDefault="00F70403" w:rsidP="00F70403">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II.</w:t>
      </w:r>
      <w:r w:rsidRPr="00DB1566">
        <w:rPr>
          <w:rFonts w:eastAsia="標楷體"/>
          <w:color w:val="000000" w:themeColor="text1"/>
          <w:kern w:val="0"/>
        </w:rPr>
        <w:tab/>
        <w:t>If the spouse is pregnant or has given birth, the period can be extended for up to one year each time.</w:t>
      </w:r>
    </w:p>
    <w:p w14:paraId="2439E41C" w14:textId="77777777" w:rsidR="004E6458" w:rsidRPr="00DB1566" w:rsidRDefault="00153488" w:rsidP="00E2109F">
      <w:pPr>
        <w:adjustRightInd w:val="0"/>
        <w:snapToGrid w:val="0"/>
        <w:ind w:leftChars="500" w:left="2126" w:hangingChars="386" w:hanging="926"/>
        <w:rPr>
          <w:rFonts w:eastAsia="標楷體"/>
          <w:color w:val="000000" w:themeColor="text1"/>
          <w:spacing w:val="-4"/>
        </w:rPr>
      </w:pPr>
      <w:r w:rsidRPr="00DB1566">
        <w:rPr>
          <w:rFonts w:eastAsia="標楷體"/>
          <w:color w:val="000000" w:themeColor="text1"/>
        </w:rPr>
        <w:t>三、</w:t>
      </w:r>
      <w:r w:rsidRPr="00DB1566">
        <w:rPr>
          <w:rFonts w:eastAsia="標楷體"/>
          <w:color w:val="000000" w:themeColor="text1"/>
        </w:rPr>
        <w:tab/>
      </w:r>
      <w:r w:rsidRPr="00DB1566">
        <w:rPr>
          <w:rFonts w:eastAsia="標楷體"/>
          <w:color w:val="000000" w:themeColor="text1"/>
        </w:rPr>
        <w:t>因借調至政府機關、公立研究機構、公營事業機構或政府捐助之財團法人者，延長年限等同借調年限，惟延長後之升等年限期滿日與該學期結束日不同時，得以該學期結束日為升等年限期滿日。</w:t>
      </w:r>
    </w:p>
    <w:p w14:paraId="080A9522" w14:textId="200D1C09" w:rsidR="00153488" w:rsidRPr="00DB1566" w:rsidRDefault="00F70403"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kern w:val="0"/>
        </w:rPr>
        <w:t xml:space="preserve"> III.</w:t>
      </w:r>
      <w:r w:rsidRPr="00DB1566">
        <w:rPr>
          <w:rFonts w:eastAsia="標楷體"/>
          <w:color w:val="000000" w:themeColor="text1"/>
          <w:kern w:val="0"/>
        </w:rPr>
        <w:tab/>
        <w:t xml:space="preserve">Faculty members who are seconded to a government agency, public research institution, state-owned enterprise, or government-funded foundation may be granted an extension of the same duration as their period of secondment. However, if the expiration date of the extended promotion deadline does not coincide with the end of the semester, the end of that semester may be deemed the expiration date of the promotion deadline. </w:t>
      </w:r>
    </w:p>
    <w:p w14:paraId="131A6703"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教師因休假研究、出國進修研究、留職停薪、領有全民健康保險重大傷病卡、育兒、突</w:t>
      </w:r>
      <w:r w:rsidRPr="00DB1566">
        <w:rPr>
          <w:rFonts w:eastAsia="標楷體"/>
          <w:color w:val="000000" w:themeColor="text1"/>
        </w:rPr>
        <w:lastRenderedPageBreak/>
        <w:t>遭重大變故或有前項事實者，得檢具證明依行政程序簽請同意延後辦理評鑑或再評鑑。</w:t>
      </w:r>
    </w:p>
    <w:p w14:paraId="1907F705" w14:textId="3A057155"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Faculty members who are on sabbatical, abroad for further studies, on unpaid leave, hold a National Health Insurance certificate of major illness or injury, are caring for a toddler, suddenly encounter a major accident, or experience any of the circumstances described in the preceding paragraph may present proof to request approval for deferred (re-)evaluation in accordance with administrative procedures.</w:t>
      </w:r>
    </w:p>
    <w:p w14:paraId="633EA61A"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受評鑑教師有下列情事之</w:t>
      </w:r>
      <w:proofErr w:type="gramStart"/>
      <w:r w:rsidRPr="00DB1566">
        <w:rPr>
          <w:rFonts w:eastAsia="標楷體"/>
          <w:color w:val="000000" w:themeColor="text1"/>
        </w:rPr>
        <w:t>一</w:t>
      </w:r>
      <w:proofErr w:type="gramEnd"/>
      <w:r w:rsidRPr="00DB1566">
        <w:rPr>
          <w:rFonts w:eastAsia="標楷體"/>
          <w:color w:val="000000" w:themeColor="text1"/>
        </w:rPr>
        <w:t>者，應列為輔導對象：</w:t>
      </w:r>
    </w:p>
    <w:p w14:paraId="619C4119" w14:textId="774D6CC3"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Under any of the following circumstances, faculty members under evaluation shall be placed under guidance:</w:t>
      </w:r>
    </w:p>
    <w:p w14:paraId="4C55D59A" w14:textId="77777777" w:rsidR="004E6458" w:rsidRPr="00DB1566" w:rsidRDefault="00153488"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rPr>
        <w:t>一、</w:t>
      </w:r>
      <w:r w:rsidRPr="00DB1566">
        <w:rPr>
          <w:rFonts w:eastAsia="標楷體"/>
          <w:color w:val="000000" w:themeColor="text1"/>
        </w:rPr>
        <w:tab/>
      </w:r>
      <w:r w:rsidRPr="00DB1566">
        <w:rPr>
          <w:rFonts w:eastAsia="標楷體"/>
          <w:color w:val="000000" w:themeColor="text1"/>
        </w:rPr>
        <w:t>已達第二項第二款至第四款規定升等年限之三分之二者。</w:t>
      </w:r>
    </w:p>
    <w:p w14:paraId="427A4475" w14:textId="6FE6D94D" w:rsidR="00153488" w:rsidRPr="00DB1566" w:rsidRDefault="006C4F53" w:rsidP="006C4F53">
      <w:pPr>
        <w:adjustRightInd w:val="0"/>
        <w:snapToGrid w:val="0"/>
        <w:ind w:leftChars="501" w:left="2126" w:hangingChars="385" w:hanging="924"/>
        <w:rPr>
          <w:rFonts w:eastAsia="標楷體"/>
          <w:color w:val="000000" w:themeColor="text1"/>
          <w:kern w:val="0"/>
        </w:rPr>
      </w:pPr>
      <w:r w:rsidRPr="00DB1566">
        <w:rPr>
          <w:rFonts w:eastAsia="標楷體"/>
          <w:color w:val="000000" w:themeColor="text1"/>
          <w:kern w:val="0"/>
        </w:rPr>
        <w:t>I.</w:t>
      </w:r>
      <w:r w:rsidRPr="00DB1566">
        <w:rPr>
          <w:rFonts w:eastAsia="標楷體"/>
          <w:color w:val="000000" w:themeColor="text1"/>
          <w:kern w:val="0"/>
        </w:rPr>
        <w:tab/>
        <w:t>The faculty member is more than two-thirds into their mandatory promotion period, as described under Paragraph 2, Subparagraphs 2 through 4 herein.</w:t>
      </w:r>
    </w:p>
    <w:p w14:paraId="5ACC97FA" w14:textId="77777777" w:rsidR="004E6458" w:rsidRPr="00DB1566" w:rsidRDefault="00153488"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rPr>
        <w:t>二、</w:t>
      </w:r>
      <w:r w:rsidRPr="00DB1566">
        <w:rPr>
          <w:rFonts w:eastAsia="標楷體"/>
          <w:color w:val="000000" w:themeColor="text1"/>
        </w:rPr>
        <w:tab/>
      </w:r>
      <w:r w:rsidRPr="00DB1566">
        <w:rPr>
          <w:rFonts w:eastAsia="標楷體"/>
          <w:color w:val="000000" w:themeColor="text1"/>
        </w:rPr>
        <w:t>評鑑結果雖達各學院通過標準，惟如有教學績效、研究績效及服務績效等項目中，其中任</w:t>
      </w:r>
      <w:proofErr w:type="gramStart"/>
      <w:r w:rsidRPr="00DB1566">
        <w:rPr>
          <w:rFonts w:eastAsia="標楷體"/>
          <w:color w:val="000000" w:themeColor="text1"/>
        </w:rPr>
        <w:t>一</w:t>
      </w:r>
      <w:proofErr w:type="gramEnd"/>
      <w:r w:rsidRPr="00DB1566">
        <w:rPr>
          <w:rFonts w:eastAsia="標楷體"/>
          <w:color w:val="000000" w:themeColor="text1"/>
        </w:rPr>
        <w:t>單項評鑑成績未達本準則第四條第三項最低通過標準者。</w:t>
      </w:r>
    </w:p>
    <w:p w14:paraId="67A11751" w14:textId="5461684B" w:rsidR="00153488" w:rsidRPr="00DB1566" w:rsidRDefault="006C4F53" w:rsidP="00E2109F">
      <w:pPr>
        <w:adjustRightInd w:val="0"/>
        <w:snapToGrid w:val="0"/>
        <w:ind w:leftChars="500" w:left="2126" w:hangingChars="386" w:hanging="926"/>
        <w:rPr>
          <w:rFonts w:eastAsia="標楷體"/>
          <w:color w:val="000000" w:themeColor="text1"/>
        </w:rPr>
      </w:pPr>
      <w:r w:rsidRPr="00DB1566">
        <w:rPr>
          <w:rFonts w:eastAsia="標楷體"/>
          <w:color w:val="000000" w:themeColor="text1"/>
          <w:kern w:val="0"/>
        </w:rPr>
        <w:t xml:space="preserve"> II.</w:t>
      </w:r>
      <w:r w:rsidRPr="00DB1566">
        <w:rPr>
          <w:rFonts w:eastAsia="標楷體"/>
          <w:color w:val="000000" w:themeColor="text1"/>
          <w:kern w:val="0"/>
        </w:rPr>
        <w:tab/>
        <w:t xml:space="preserve">Although the faculty member’s evaluation results meet the passing standards set by their college, any individual evaluation item, such as teaching performance, research performance, or service performance, fails to meet the minimum passing standard specified in Article 4, Paragraph 3 of these Guidelines. </w:t>
      </w:r>
    </w:p>
    <w:p w14:paraId="0B651C3B"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各系所應要求前項受評教師提改善計畫，並送各學院追踪輔導。</w:t>
      </w:r>
    </w:p>
    <w:p w14:paraId="2A085DF6" w14:textId="204E9D2A"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Academic programs shall require the faculty members under evaluation described in the preceding paragraph to submit an improvement plan, which shall be forwarded to the respective college for follow-up guidance.</w:t>
      </w:r>
    </w:p>
    <w:p w14:paraId="54C6DFCE" w14:textId="77777777" w:rsidR="004E6458" w:rsidRPr="00DB1566" w:rsidRDefault="00153488" w:rsidP="004E6458">
      <w:pPr>
        <w:snapToGrid w:val="0"/>
        <w:ind w:left="1200" w:hangingChars="500" w:hanging="1200"/>
        <w:rPr>
          <w:rFonts w:eastAsia="標楷體"/>
          <w:color w:val="000000" w:themeColor="text1"/>
        </w:rPr>
      </w:pPr>
      <w:r w:rsidRPr="00DB1566">
        <w:rPr>
          <w:rFonts w:eastAsia="標楷體"/>
          <w:color w:val="000000" w:themeColor="text1"/>
        </w:rPr>
        <w:t>第十條</w:t>
      </w:r>
      <w:r w:rsidRPr="00DB1566">
        <w:rPr>
          <w:rFonts w:eastAsia="標楷體"/>
          <w:color w:val="000000" w:themeColor="text1"/>
        </w:rPr>
        <w:tab/>
      </w:r>
      <w:r w:rsidRPr="00DB1566">
        <w:rPr>
          <w:rFonts w:eastAsia="標楷體"/>
          <w:color w:val="000000" w:themeColor="text1"/>
        </w:rPr>
        <w:t>受評教師對評鑑結果有異議者，得於接獲書面通知</w:t>
      </w:r>
      <w:proofErr w:type="gramStart"/>
      <w:r w:rsidRPr="00DB1566">
        <w:rPr>
          <w:rFonts w:eastAsia="標楷體"/>
          <w:color w:val="000000" w:themeColor="text1"/>
        </w:rPr>
        <w:t>三</w:t>
      </w:r>
      <w:proofErr w:type="gramEnd"/>
      <w:r w:rsidRPr="00DB1566">
        <w:rPr>
          <w:rFonts w:eastAsia="標楷體"/>
          <w:color w:val="000000" w:themeColor="text1"/>
        </w:rPr>
        <w:t>十日內，以書面檢附具體證據，依本校教師申訴評議委員會組織及評議要點規定提起申訴。</w:t>
      </w:r>
    </w:p>
    <w:p w14:paraId="1E09708C" w14:textId="16193B4E" w:rsidR="00153488" w:rsidRPr="00DB1566" w:rsidRDefault="001723AF" w:rsidP="004E6458">
      <w:pPr>
        <w:snapToGrid w:val="0"/>
        <w:ind w:left="1200" w:hangingChars="500" w:hanging="1200"/>
        <w:rPr>
          <w:rFonts w:eastAsia="標楷體"/>
          <w:color w:val="000000" w:themeColor="text1"/>
        </w:rPr>
      </w:pPr>
      <w:r w:rsidRPr="00DB1566">
        <w:rPr>
          <w:rFonts w:eastAsia="標楷體"/>
          <w:color w:val="000000" w:themeColor="text1"/>
          <w:kern w:val="0"/>
        </w:rPr>
        <w:t xml:space="preserve"> Article 10</w:t>
      </w:r>
      <w:r w:rsidRPr="00DB1566">
        <w:rPr>
          <w:rFonts w:eastAsia="標楷體"/>
          <w:color w:val="000000" w:themeColor="text1"/>
          <w:kern w:val="0"/>
        </w:rPr>
        <w:tab/>
        <w:t xml:space="preserve">Faculty members under evaluation who object to the evaluation results may, within 30 days of receiving the written notification, file an appeal in writing with concrete evidence in accordance with the provisions of the University’s Organization and Review Directives for the Faculty Appeals Review Committee. </w:t>
      </w:r>
    </w:p>
    <w:p w14:paraId="3A788433" w14:textId="77777777" w:rsidR="004E6458" w:rsidRPr="00DB1566" w:rsidRDefault="00153488" w:rsidP="004E6458">
      <w:pPr>
        <w:adjustRightInd w:val="0"/>
        <w:snapToGrid w:val="0"/>
        <w:ind w:leftChars="500" w:left="1200"/>
        <w:rPr>
          <w:rFonts w:eastAsia="標楷體"/>
          <w:color w:val="000000" w:themeColor="text1"/>
        </w:rPr>
      </w:pPr>
      <w:r w:rsidRPr="00DB1566">
        <w:rPr>
          <w:rFonts w:eastAsia="標楷體"/>
          <w:color w:val="000000" w:themeColor="text1"/>
        </w:rPr>
        <w:t>申訴人不服本校教師申訴評議委員會之評議者，得向教育部中央教師申訴評議委員會提出再申訴。</w:t>
      </w:r>
    </w:p>
    <w:p w14:paraId="6B2F7DF4" w14:textId="5A3A72FC" w:rsidR="00153488" w:rsidRPr="00DB1566" w:rsidRDefault="004E6458" w:rsidP="004E6458">
      <w:pPr>
        <w:adjustRightInd w:val="0"/>
        <w:snapToGrid w:val="0"/>
        <w:ind w:leftChars="500" w:left="1200"/>
        <w:rPr>
          <w:rFonts w:eastAsia="標楷體"/>
          <w:color w:val="000000" w:themeColor="text1"/>
        </w:rPr>
      </w:pPr>
      <w:r w:rsidRPr="00DB1566">
        <w:rPr>
          <w:rFonts w:eastAsia="標楷體"/>
          <w:color w:val="000000" w:themeColor="text1"/>
        </w:rPr>
        <w:t>If an appellant is not satisfied with the review decision made by the University’s Faculty Appeals Review Committee, a re-appeal may be filed with the Central Faculty Appeals Review Committee of the Ministry of Education.</w:t>
      </w:r>
    </w:p>
    <w:p w14:paraId="6481ED1E" w14:textId="77777777" w:rsidR="004E6458" w:rsidRPr="00DB1566" w:rsidRDefault="00153488" w:rsidP="004E6458">
      <w:pPr>
        <w:tabs>
          <w:tab w:val="num" w:pos="1440"/>
        </w:tabs>
        <w:adjustRightInd w:val="0"/>
        <w:snapToGrid w:val="0"/>
        <w:ind w:left="1200" w:hangingChars="500" w:hanging="1200"/>
        <w:rPr>
          <w:rFonts w:eastAsia="標楷體"/>
          <w:color w:val="000000" w:themeColor="text1"/>
        </w:rPr>
      </w:pPr>
      <w:r w:rsidRPr="00DB1566">
        <w:rPr>
          <w:rFonts w:eastAsia="標楷體"/>
          <w:color w:val="000000" w:themeColor="text1"/>
        </w:rPr>
        <w:t>第十一條</w:t>
      </w:r>
      <w:r w:rsidRPr="00DB1566">
        <w:rPr>
          <w:rFonts w:eastAsia="標楷體"/>
          <w:color w:val="000000" w:themeColor="text1"/>
        </w:rPr>
        <w:tab/>
      </w:r>
      <w:r w:rsidRPr="00DB1566">
        <w:rPr>
          <w:rFonts w:eastAsia="標楷體"/>
          <w:color w:val="000000" w:themeColor="text1"/>
        </w:rPr>
        <w:t>不隸屬學院之教師，其評鑑辦法、評鑑小組、與評鑑作業，由各單位比照學院辦理。</w:t>
      </w:r>
    </w:p>
    <w:p w14:paraId="17FFE457" w14:textId="0545A1A5" w:rsidR="00153488" w:rsidRPr="00DB1566" w:rsidRDefault="001723AF" w:rsidP="001723AF">
      <w:pPr>
        <w:snapToGrid w:val="0"/>
        <w:ind w:left="1200" w:hangingChars="500" w:hanging="1200"/>
        <w:rPr>
          <w:rFonts w:eastAsia="標楷體"/>
          <w:color w:val="000000" w:themeColor="text1"/>
        </w:rPr>
      </w:pPr>
      <w:r w:rsidRPr="00DB1566">
        <w:rPr>
          <w:rFonts w:eastAsia="標楷體"/>
          <w:color w:val="000000" w:themeColor="text1"/>
        </w:rPr>
        <w:t>Article 11</w:t>
      </w:r>
      <w:r w:rsidRPr="00DB1566">
        <w:rPr>
          <w:rFonts w:eastAsia="標楷體"/>
          <w:color w:val="000000" w:themeColor="text1"/>
        </w:rPr>
        <w:tab/>
        <w:t>Matters pertaining to evaluation regulations, evaluation task forces, and evaluation tasks for faculty members who are not affiliated with any college shall be handled by the respective unit in accordance with the provisions applicable to colleges.</w:t>
      </w:r>
    </w:p>
    <w:p w14:paraId="32B1CC4C" w14:textId="77777777" w:rsidR="004E6458" w:rsidRPr="00DB1566" w:rsidRDefault="00153488" w:rsidP="004E6458">
      <w:pPr>
        <w:tabs>
          <w:tab w:val="num" w:pos="1440"/>
        </w:tabs>
        <w:adjustRightInd w:val="0"/>
        <w:snapToGrid w:val="0"/>
        <w:ind w:left="1200" w:hangingChars="500" w:hanging="1200"/>
        <w:rPr>
          <w:rFonts w:eastAsia="標楷體"/>
          <w:color w:val="000000" w:themeColor="text1"/>
        </w:rPr>
      </w:pPr>
      <w:r w:rsidRPr="00DB1566">
        <w:rPr>
          <w:rFonts w:eastAsia="標楷體"/>
          <w:color w:val="000000" w:themeColor="text1"/>
        </w:rPr>
        <w:t>第十二條</w:t>
      </w:r>
      <w:r w:rsidRPr="00DB1566">
        <w:rPr>
          <w:rFonts w:eastAsia="標楷體"/>
          <w:color w:val="000000" w:themeColor="text1"/>
        </w:rPr>
        <w:tab/>
      </w:r>
      <w:r w:rsidRPr="00DB1566">
        <w:rPr>
          <w:rFonts w:eastAsia="標楷體"/>
          <w:color w:val="000000" w:themeColor="text1"/>
        </w:rPr>
        <w:t>本校專任研究人員比照專任教師接受評鑑，由各學院（室、中心）、分別訂定其研究人員評鑑辦法，包括評鑑項目、標準及程序，並經</w:t>
      </w:r>
      <w:proofErr w:type="gramStart"/>
      <w:r w:rsidRPr="00DB1566">
        <w:rPr>
          <w:rFonts w:eastAsia="標楷體"/>
          <w:color w:val="000000" w:themeColor="text1"/>
        </w:rPr>
        <w:t>報校核</w:t>
      </w:r>
      <w:proofErr w:type="gramEnd"/>
      <w:r w:rsidRPr="00DB1566">
        <w:rPr>
          <w:rFonts w:eastAsia="標楷體"/>
          <w:color w:val="000000" w:themeColor="text1"/>
        </w:rPr>
        <w:t>備後實施。</w:t>
      </w:r>
    </w:p>
    <w:p w14:paraId="4EE7AA42" w14:textId="0F81DB67" w:rsidR="00153488" w:rsidRPr="00DB1566" w:rsidRDefault="001723AF" w:rsidP="001723AF">
      <w:pPr>
        <w:snapToGrid w:val="0"/>
        <w:ind w:left="1200" w:hangingChars="500" w:hanging="1200"/>
        <w:rPr>
          <w:rFonts w:eastAsia="標楷體"/>
          <w:color w:val="000000" w:themeColor="text1"/>
        </w:rPr>
      </w:pPr>
      <w:r w:rsidRPr="00DB1566">
        <w:rPr>
          <w:rFonts w:eastAsia="標楷體"/>
          <w:color w:val="000000" w:themeColor="text1"/>
        </w:rPr>
        <w:t>Article 12</w:t>
      </w:r>
      <w:r w:rsidRPr="00DB1566">
        <w:rPr>
          <w:rFonts w:eastAsia="標楷體"/>
          <w:color w:val="000000" w:themeColor="text1"/>
        </w:rPr>
        <w:tab/>
        <w:t>Full-time research personnel of the University shall undergo evaluation in the same manner as full-time faculty. Each college (office or center) shall establish its own research personnel evaluation regulations, including evaluation items, standards, and procedures, which shall be implemented upon review and filing by the University.</w:t>
      </w:r>
    </w:p>
    <w:p w14:paraId="56CF3861" w14:textId="77777777" w:rsidR="004E6458" w:rsidRPr="00DB1566" w:rsidRDefault="00153488"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t>第十三條</w:t>
      </w:r>
      <w:r w:rsidRPr="00DB1566">
        <w:rPr>
          <w:rFonts w:eastAsia="標楷體"/>
          <w:color w:val="000000" w:themeColor="text1"/>
        </w:rPr>
        <w:tab/>
      </w:r>
      <w:r w:rsidRPr="00DB1566">
        <w:rPr>
          <w:rFonts w:eastAsia="標楷體"/>
          <w:color w:val="000000" w:themeColor="text1"/>
        </w:rPr>
        <w:t>本校</w:t>
      </w:r>
      <w:r w:rsidRPr="00DB1566">
        <w:rPr>
          <w:rFonts w:eastAsia="標楷體"/>
          <w:color w:val="000000" w:themeColor="text1"/>
          <w:kern w:val="0"/>
        </w:rPr>
        <w:t>專任教授（含講座與特聘教授）、副教授、助理教授、講師、研究人員及舊制助教如有下列各項情事，應列入評鑑指標：</w:t>
      </w:r>
    </w:p>
    <w:p w14:paraId="287B78D9" w14:textId="39D002FD" w:rsidR="00153488" w:rsidRPr="00DB1566" w:rsidRDefault="00DF4003" w:rsidP="004E6458">
      <w:pPr>
        <w:adjustRightInd w:val="0"/>
        <w:snapToGrid w:val="0"/>
        <w:ind w:left="1200" w:hangingChars="500" w:hanging="1200"/>
        <w:rPr>
          <w:rFonts w:eastAsia="標楷體"/>
          <w:color w:val="000000" w:themeColor="text1"/>
          <w:kern w:val="0"/>
        </w:rPr>
      </w:pPr>
      <w:r w:rsidRPr="00DB1566">
        <w:rPr>
          <w:rFonts w:eastAsia="標楷體"/>
          <w:color w:val="000000" w:themeColor="text1"/>
        </w:rPr>
        <w:t xml:space="preserve"> Article 13 </w:t>
      </w:r>
      <w:r w:rsidRPr="00DB1566">
        <w:rPr>
          <w:rFonts w:eastAsia="標楷體"/>
          <w:color w:val="000000" w:themeColor="text1"/>
          <w:kern w:val="0"/>
        </w:rPr>
        <w:tab/>
        <w:t xml:space="preserve">Full-time professors (including chair professors and distinguished professors), associate professors, assistant professors, instructors, research personnel, and old-system teaching assistants of the University who are found to have engaged in any of the following acts shall have the fact considered in the evaluation indicators: </w:t>
      </w:r>
    </w:p>
    <w:p w14:paraId="72D30EEC" w14:textId="1F7C9822" w:rsidR="004E6458" w:rsidRPr="00DB1566" w:rsidRDefault="00153488" w:rsidP="00E2109F">
      <w:pPr>
        <w:adjustRightInd w:val="0"/>
        <w:snapToGrid w:val="0"/>
        <w:ind w:leftChars="500" w:left="1985" w:hangingChars="327" w:hanging="785"/>
        <w:rPr>
          <w:rFonts w:eastAsia="標楷體"/>
          <w:color w:val="000000" w:themeColor="text1"/>
          <w:kern w:val="0"/>
        </w:rPr>
      </w:pPr>
      <w:proofErr w:type="gramStart"/>
      <w:r w:rsidRPr="00DB1566">
        <w:rPr>
          <w:rFonts w:eastAsia="標楷體"/>
          <w:color w:val="000000" w:themeColor="text1"/>
        </w:rPr>
        <w:t>ㄧ</w:t>
      </w:r>
      <w:proofErr w:type="gramEnd"/>
      <w:r w:rsidRPr="00DB1566">
        <w:rPr>
          <w:rFonts w:eastAsia="標楷體"/>
          <w:color w:val="000000" w:themeColor="text1"/>
        </w:rPr>
        <w:t>、</w:t>
      </w:r>
      <w:r w:rsidRPr="00DB1566">
        <w:rPr>
          <w:rFonts w:eastAsia="標楷體"/>
          <w:color w:val="000000" w:themeColor="text1"/>
        </w:rPr>
        <w:tab/>
      </w:r>
      <w:r w:rsidRPr="00DB1566">
        <w:rPr>
          <w:rFonts w:eastAsia="標楷體"/>
          <w:color w:val="000000" w:themeColor="text1"/>
          <w:kern w:val="0"/>
        </w:rPr>
        <w:t>未透過學校行政作業許可程序逕與各機關訂約接受委託研究或以兼任各專業學會職務，以學會名義接受委辦計畫，未由學校具名簽訂合約者。</w:t>
      </w:r>
    </w:p>
    <w:p w14:paraId="23D7F2A1" w14:textId="299D5E16" w:rsidR="00153488" w:rsidRPr="00DB1566" w:rsidRDefault="00DF4003"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lastRenderedPageBreak/>
        <w:t>I.</w:t>
      </w:r>
      <w:r w:rsidRPr="00DB1566">
        <w:rPr>
          <w:rFonts w:eastAsia="標楷體"/>
          <w:color w:val="000000" w:themeColor="text1"/>
          <w:kern w:val="0"/>
        </w:rPr>
        <w:tab/>
        <w:t>Having directly entered into contracts with organizations to undertake commissioned research without obtaining approval through the University’s administrative procedures, or having, while concurrently holding positions in professional associations, accepted commissioned projects in the name of such associations without the contracts being executed under the University’s name.</w:t>
      </w:r>
    </w:p>
    <w:p w14:paraId="618E145B"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szCs w:val="22"/>
        </w:rPr>
        <w:t>二、</w:t>
      </w:r>
      <w:r w:rsidRPr="00DB1566">
        <w:rPr>
          <w:rFonts w:eastAsia="標楷體"/>
          <w:color w:val="000000" w:themeColor="text1"/>
          <w:kern w:val="0"/>
          <w:szCs w:val="22"/>
        </w:rPr>
        <w:tab/>
      </w:r>
      <w:r w:rsidRPr="00DB1566">
        <w:rPr>
          <w:rFonts w:eastAsia="標楷體"/>
          <w:color w:val="000000" w:themeColor="text1"/>
          <w:kern w:val="0"/>
        </w:rPr>
        <w:t>涉嫌詐領研究費經法院一審判決有罪。</w:t>
      </w:r>
    </w:p>
    <w:p w14:paraId="2E83BD24" w14:textId="2EAE4F4C" w:rsidR="00153488" w:rsidRPr="00DB1566" w:rsidRDefault="00DF4003" w:rsidP="00E2109F">
      <w:pPr>
        <w:adjustRightInd w:val="0"/>
        <w:snapToGrid w:val="0"/>
        <w:ind w:leftChars="500" w:left="1985" w:hangingChars="327" w:hanging="785"/>
        <w:rPr>
          <w:rFonts w:eastAsia="標楷體"/>
          <w:color w:val="000000" w:themeColor="text1"/>
          <w:kern w:val="0"/>
          <w:szCs w:val="22"/>
        </w:rPr>
      </w:pPr>
      <w:r w:rsidRPr="00DB1566">
        <w:rPr>
          <w:rFonts w:eastAsia="標楷體"/>
          <w:color w:val="000000" w:themeColor="text1"/>
          <w:kern w:val="0"/>
          <w:szCs w:val="22"/>
        </w:rPr>
        <w:t>II.</w:t>
      </w:r>
      <w:r w:rsidRPr="00DB1566">
        <w:rPr>
          <w:rFonts w:eastAsia="標楷體"/>
          <w:color w:val="000000" w:themeColor="text1"/>
          <w:kern w:val="0"/>
          <w:szCs w:val="22"/>
        </w:rPr>
        <w:tab/>
        <w:t>Having been found guilty of fraudulent use of research funds by a court of first instance.</w:t>
      </w:r>
    </w:p>
    <w:p w14:paraId="6904B2EF" w14:textId="77777777" w:rsidR="004E6458" w:rsidRPr="00DB1566" w:rsidRDefault="00153488"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三、</w:t>
      </w:r>
      <w:r w:rsidRPr="00DB1566">
        <w:rPr>
          <w:rFonts w:eastAsia="標楷體"/>
          <w:color w:val="000000" w:themeColor="text1"/>
          <w:kern w:val="0"/>
        </w:rPr>
        <w:tab/>
      </w:r>
      <w:r w:rsidRPr="00DB1566">
        <w:rPr>
          <w:rFonts w:eastAsia="標楷體"/>
          <w:color w:val="000000" w:themeColor="text1"/>
          <w:kern w:val="0"/>
        </w:rPr>
        <w:t>辦理採購案件疏失遭審計單位調查確有違法失職情事。</w:t>
      </w:r>
    </w:p>
    <w:p w14:paraId="0EFBDFD4" w14:textId="2D3B2B13" w:rsidR="00153488" w:rsidRPr="00DB1566" w:rsidRDefault="00DF4003" w:rsidP="00E2109F">
      <w:pPr>
        <w:adjustRightInd w:val="0"/>
        <w:snapToGrid w:val="0"/>
        <w:ind w:leftChars="500" w:left="1985" w:hangingChars="327" w:hanging="785"/>
        <w:rPr>
          <w:rFonts w:eastAsia="標楷體"/>
          <w:color w:val="000000" w:themeColor="text1"/>
          <w:kern w:val="0"/>
        </w:rPr>
      </w:pPr>
      <w:r w:rsidRPr="00DB1566">
        <w:rPr>
          <w:rFonts w:eastAsia="標楷體"/>
          <w:color w:val="000000" w:themeColor="text1"/>
          <w:kern w:val="0"/>
        </w:rPr>
        <w:t>III.</w:t>
      </w:r>
      <w:r w:rsidRPr="00DB1566">
        <w:rPr>
          <w:rFonts w:eastAsia="標楷體"/>
          <w:color w:val="000000" w:themeColor="text1"/>
          <w:kern w:val="0"/>
        </w:rPr>
        <w:tab/>
        <w:t>Having committed acts of illegality or dereliction of duty confirmed through investigation by auditing authorities due to negligence in handling procurement cases.</w:t>
      </w:r>
    </w:p>
    <w:p w14:paraId="738BB4D6" w14:textId="77777777" w:rsidR="004E6458" w:rsidRPr="00DB1566" w:rsidRDefault="00153488" w:rsidP="004E6458">
      <w:pPr>
        <w:tabs>
          <w:tab w:val="num" w:pos="1440"/>
        </w:tabs>
        <w:adjustRightInd w:val="0"/>
        <w:snapToGrid w:val="0"/>
        <w:ind w:left="1133" w:hangingChars="472" w:hanging="1133"/>
        <w:rPr>
          <w:rFonts w:eastAsia="標楷體"/>
          <w:color w:val="000000" w:themeColor="text1"/>
        </w:rPr>
      </w:pPr>
      <w:r w:rsidRPr="00DB1566">
        <w:rPr>
          <w:rFonts w:eastAsia="標楷體"/>
          <w:color w:val="000000" w:themeColor="text1"/>
        </w:rPr>
        <w:t>第十四條</w:t>
      </w:r>
      <w:r w:rsidRPr="00DB1566">
        <w:rPr>
          <w:rFonts w:eastAsia="標楷體"/>
          <w:color w:val="000000" w:themeColor="text1"/>
        </w:rPr>
        <w:tab/>
      </w:r>
      <w:r w:rsidRPr="00DB1566">
        <w:rPr>
          <w:rFonts w:eastAsia="標楷體"/>
          <w:color w:val="000000" w:themeColor="text1"/>
        </w:rPr>
        <w:t>本準則如有未盡事宜，悉依本校其他相關規定辦理。</w:t>
      </w:r>
    </w:p>
    <w:p w14:paraId="6FC68202" w14:textId="379B186A" w:rsidR="00153488" w:rsidRPr="00DB1566" w:rsidRDefault="00DF4003" w:rsidP="004E6458">
      <w:pPr>
        <w:tabs>
          <w:tab w:val="num" w:pos="1440"/>
        </w:tabs>
        <w:adjustRightInd w:val="0"/>
        <w:snapToGrid w:val="0"/>
        <w:ind w:left="1133" w:hangingChars="472" w:hanging="1133"/>
        <w:rPr>
          <w:rFonts w:eastAsia="標楷體"/>
          <w:color w:val="000000" w:themeColor="text1"/>
        </w:rPr>
      </w:pPr>
      <w:r w:rsidRPr="00DB1566">
        <w:rPr>
          <w:rFonts w:eastAsia="標楷體"/>
          <w:color w:val="000000" w:themeColor="text1"/>
        </w:rPr>
        <w:t>Article 14</w:t>
      </w:r>
      <w:r w:rsidRPr="00DB1566">
        <w:rPr>
          <w:rFonts w:eastAsia="標楷體"/>
          <w:color w:val="000000" w:themeColor="text1"/>
        </w:rPr>
        <w:tab/>
        <w:t>Matters not addressed in these Guidelines shall be subject to other relevant regulations of the University.</w:t>
      </w:r>
    </w:p>
    <w:p w14:paraId="31D497BF" w14:textId="77777777" w:rsidR="004E6458" w:rsidRPr="00DB1566" w:rsidRDefault="00153488" w:rsidP="00C45F26">
      <w:pPr>
        <w:tabs>
          <w:tab w:val="num" w:pos="1440"/>
        </w:tabs>
        <w:adjustRightInd w:val="0"/>
        <w:snapToGrid w:val="0"/>
        <w:ind w:left="1133" w:hangingChars="472" w:hanging="1133"/>
        <w:rPr>
          <w:rFonts w:eastAsia="標楷體"/>
          <w:color w:val="000000" w:themeColor="text1"/>
        </w:rPr>
      </w:pPr>
      <w:r w:rsidRPr="00DB1566">
        <w:rPr>
          <w:rFonts w:eastAsia="標楷體"/>
          <w:color w:val="000000" w:themeColor="text1"/>
        </w:rPr>
        <w:t>第十五條</w:t>
      </w:r>
      <w:r w:rsidRPr="00DB1566">
        <w:rPr>
          <w:rFonts w:eastAsia="標楷體"/>
          <w:color w:val="000000" w:themeColor="text1"/>
        </w:rPr>
        <w:tab/>
      </w:r>
      <w:r w:rsidRPr="00DB1566">
        <w:rPr>
          <w:rFonts w:eastAsia="標楷體"/>
          <w:color w:val="000000" w:themeColor="text1"/>
        </w:rPr>
        <w:t>本準則經校務會議通過後施行，修訂時亦同。</w:t>
      </w:r>
    </w:p>
    <w:p w14:paraId="7D0E37F4" w14:textId="2AAA6D3A" w:rsidR="007F69E2" w:rsidRPr="00DB1566" w:rsidRDefault="00DF4003" w:rsidP="00C45F26">
      <w:pPr>
        <w:tabs>
          <w:tab w:val="num" w:pos="1440"/>
        </w:tabs>
        <w:adjustRightInd w:val="0"/>
        <w:snapToGrid w:val="0"/>
        <w:ind w:left="1133" w:hangingChars="472" w:hanging="1133"/>
        <w:rPr>
          <w:rFonts w:eastAsia="標楷體"/>
          <w:color w:val="000000" w:themeColor="text1"/>
        </w:rPr>
      </w:pPr>
      <w:r w:rsidRPr="00DB1566">
        <w:rPr>
          <w:rFonts w:eastAsia="標楷體"/>
          <w:color w:val="000000" w:themeColor="text1"/>
        </w:rPr>
        <w:t>Article 15</w:t>
      </w:r>
      <w:r w:rsidRPr="00DB1566">
        <w:rPr>
          <w:rFonts w:eastAsia="標楷體"/>
          <w:color w:val="000000" w:themeColor="text1"/>
        </w:rPr>
        <w:tab/>
        <w:t>These Guidelines and any amendments made hereto shall be implemented upon passage by the University Council.</w:t>
      </w:r>
    </w:p>
    <w:sectPr w:rsidR="007F69E2" w:rsidRPr="00DB1566" w:rsidSect="006413A8">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C5B04" w14:textId="77777777" w:rsidR="009E471E" w:rsidRPr="008E3C87" w:rsidRDefault="009E471E"/>
    <w:p w14:paraId="124C8358" w14:textId="77777777" w:rsidR="009E471E" w:rsidRPr="008E3C87" w:rsidRDefault="009E471E">
      <w:r w:rsidRPr="008E3C87">
        <w:separator/>
      </w:r>
    </w:p>
  </w:endnote>
  <w:endnote w:type="continuationSeparator" w:id="0">
    <w:p w14:paraId="64E7033A" w14:textId="77777777" w:rsidR="009E471E" w:rsidRPr="008E3C87" w:rsidRDefault="009E471E"/>
    <w:p w14:paraId="0D73C1E8" w14:textId="77777777" w:rsidR="009E471E" w:rsidRPr="008E3C87" w:rsidRDefault="009E471E">
      <w:r w:rsidRPr="008E3C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DB19" w14:textId="77777777" w:rsidR="008E3C87" w:rsidRPr="008E3C87" w:rsidRDefault="008E3C8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25FBF" w14:textId="77777777" w:rsidR="008E3C87" w:rsidRPr="008E3C87" w:rsidRDefault="008E3C8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43B0" w14:textId="77777777" w:rsidR="008E3C87" w:rsidRPr="008E3C87" w:rsidRDefault="008E3C8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28B9C" w14:textId="77777777" w:rsidR="009E471E" w:rsidRPr="008E3C87" w:rsidRDefault="009E471E" w:rsidP="006860BA">
      <w:pPr>
        <w:adjustRightInd w:val="0"/>
        <w:snapToGrid w:val="0"/>
        <w:rPr>
          <w:rFonts w:ascii="標楷體" w:eastAsia="標楷體" w:hAnsi="標楷體"/>
        </w:rPr>
      </w:pPr>
    </w:p>
    <w:p w14:paraId="0E52CE0B" w14:textId="77777777" w:rsidR="009E471E" w:rsidRPr="008E3C87" w:rsidRDefault="009E471E">
      <w:r w:rsidRPr="008E3C87">
        <w:separator/>
      </w:r>
    </w:p>
  </w:footnote>
  <w:footnote w:type="continuationSeparator" w:id="0">
    <w:p w14:paraId="26DB21A5" w14:textId="77777777" w:rsidR="009E471E" w:rsidRPr="008E3C87" w:rsidRDefault="009E471E"/>
    <w:p w14:paraId="3FA6749C" w14:textId="77777777" w:rsidR="009E471E" w:rsidRPr="008E3C87" w:rsidRDefault="009E471E">
      <w:r w:rsidRPr="008E3C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0127" w14:textId="77777777" w:rsidR="008E3C87" w:rsidRPr="008E3C87" w:rsidRDefault="008E3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9884C" w14:textId="77777777" w:rsidR="008E3C87" w:rsidRPr="008E3C87" w:rsidRDefault="008E3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0180" w14:textId="77777777" w:rsidR="008E3C87" w:rsidRPr="008E3C87" w:rsidRDefault="008E3C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66F3"/>
    <w:multiLevelType w:val="hybridMultilevel"/>
    <w:tmpl w:val="212AC234"/>
    <w:lvl w:ilvl="0" w:tplc="C3A2D53E">
      <w:start w:val="1"/>
      <w:numFmt w:val="taiwaneseCountingThousand"/>
      <w:lvlText w:val="%1、"/>
      <w:lvlJc w:val="left"/>
      <w:pPr>
        <w:ind w:left="552" w:hanging="5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22BBD"/>
    <w:multiLevelType w:val="hybridMultilevel"/>
    <w:tmpl w:val="549E8698"/>
    <w:lvl w:ilvl="0" w:tplc="5B1EFB08">
      <w:start w:val="1"/>
      <w:numFmt w:val="decimal"/>
      <w:lvlText w:val="%1."/>
      <w:lvlJc w:val="left"/>
      <w:pPr>
        <w:ind w:left="22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1F6896"/>
    <w:multiLevelType w:val="hybridMultilevel"/>
    <w:tmpl w:val="44F00524"/>
    <w:lvl w:ilvl="0" w:tplc="74F2E6BE">
      <w:start w:val="1"/>
      <w:numFmt w:val="taiwaneseCountingThousand"/>
      <w:lvlText w:val="%1、"/>
      <w:lvlJc w:val="left"/>
      <w:pPr>
        <w:ind w:left="444" w:hanging="480"/>
      </w:pPr>
      <w:rPr>
        <w:rFonts w:hint="default"/>
        <w:u w:val="none"/>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 w15:restartNumberingAfterBreak="0">
    <w:nsid w:val="131B142A"/>
    <w:multiLevelType w:val="hybridMultilevel"/>
    <w:tmpl w:val="1FF43B1E"/>
    <w:lvl w:ilvl="0" w:tplc="5B1EFB08">
      <w:start w:val="1"/>
      <w:numFmt w:val="decimal"/>
      <w:lvlText w:val="%1."/>
      <w:lvlJc w:val="left"/>
      <w:pPr>
        <w:ind w:left="2250" w:hanging="360"/>
      </w:pPr>
      <w:rPr>
        <w:rFonts w:hint="default"/>
      </w:rPr>
    </w:lvl>
    <w:lvl w:ilvl="1" w:tplc="04090019" w:tentative="1">
      <w:start w:val="1"/>
      <w:numFmt w:val="ideographTraditional"/>
      <w:lvlText w:val="%2、"/>
      <w:lvlJc w:val="left"/>
      <w:pPr>
        <w:ind w:left="2850" w:hanging="480"/>
      </w:pPr>
    </w:lvl>
    <w:lvl w:ilvl="2" w:tplc="0409001B" w:tentative="1">
      <w:start w:val="1"/>
      <w:numFmt w:val="lowerRoman"/>
      <w:lvlText w:val="%3."/>
      <w:lvlJc w:val="right"/>
      <w:pPr>
        <w:ind w:left="3330" w:hanging="480"/>
      </w:pPr>
    </w:lvl>
    <w:lvl w:ilvl="3" w:tplc="0409000F" w:tentative="1">
      <w:start w:val="1"/>
      <w:numFmt w:val="decimal"/>
      <w:lvlText w:val="%4."/>
      <w:lvlJc w:val="left"/>
      <w:pPr>
        <w:ind w:left="3810" w:hanging="480"/>
      </w:pPr>
    </w:lvl>
    <w:lvl w:ilvl="4" w:tplc="04090019" w:tentative="1">
      <w:start w:val="1"/>
      <w:numFmt w:val="ideographTraditional"/>
      <w:lvlText w:val="%5、"/>
      <w:lvlJc w:val="left"/>
      <w:pPr>
        <w:ind w:left="4290" w:hanging="480"/>
      </w:pPr>
    </w:lvl>
    <w:lvl w:ilvl="5" w:tplc="0409001B" w:tentative="1">
      <w:start w:val="1"/>
      <w:numFmt w:val="lowerRoman"/>
      <w:lvlText w:val="%6."/>
      <w:lvlJc w:val="right"/>
      <w:pPr>
        <w:ind w:left="4770" w:hanging="480"/>
      </w:pPr>
    </w:lvl>
    <w:lvl w:ilvl="6" w:tplc="0409000F" w:tentative="1">
      <w:start w:val="1"/>
      <w:numFmt w:val="decimal"/>
      <w:lvlText w:val="%7."/>
      <w:lvlJc w:val="left"/>
      <w:pPr>
        <w:ind w:left="5250" w:hanging="480"/>
      </w:pPr>
    </w:lvl>
    <w:lvl w:ilvl="7" w:tplc="04090019" w:tentative="1">
      <w:start w:val="1"/>
      <w:numFmt w:val="ideographTraditional"/>
      <w:lvlText w:val="%8、"/>
      <w:lvlJc w:val="left"/>
      <w:pPr>
        <w:ind w:left="5730" w:hanging="480"/>
      </w:pPr>
    </w:lvl>
    <w:lvl w:ilvl="8" w:tplc="0409001B" w:tentative="1">
      <w:start w:val="1"/>
      <w:numFmt w:val="lowerRoman"/>
      <w:lvlText w:val="%9."/>
      <w:lvlJc w:val="right"/>
      <w:pPr>
        <w:ind w:left="6210" w:hanging="480"/>
      </w:pPr>
    </w:lvl>
  </w:abstractNum>
  <w:abstractNum w:abstractNumId="4" w15:restartNumberingAfterBreak="0">
    <w:nsid w:val="141D580B"/>
    <w:multiLevelType w:val="hybridMultilevel"/>
    <w:tmpl w:val="660AF5F2"/>
    <w:lvl w:ilvl="0" w:tplc="E9EEE958">
      <w:start w:val="1"/>
      <w:numFmt w:val="taiwaneseCountingThousand"/>
      <w:lvlText w:val="%1、"/>
      <w:lvlJc w:val="left"/>
      <w:pPr>
        <w:ind w:left="108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822AB9"/>
    <w:multiLevelType w:val="hybridMultilevel"/>
    <w:tmpl w:val="700AA270"/>
    <w:lvl w:ilvl="0" w:tplc="376483D0">
      <w:start w:val="1"/>
      <w:numFmt w:val="taiwaneseCountingThousand"/>
      <w:lvlText w:val="%1、"/>
      <w:lvlJc w:val="left"/>
      <w:pPr>
        <w:ind w:left="490" w:hanging="500"/>
      </w:pPr>
      <w:rPr>
        <w:rFonts w:hint="default"/>
        <w:u w:val="none"/>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6" w15:restartNumberingAfterBreak="0">
    <w:nsid w:val="1EAF482D"/>
    <w:multiLevelType w:val="hybridMultilevel"/>
    <w:tmpl w:val="CDE68C6E"/>
    <w:lvl w:ilvl="0" w:tplc="FD86BEF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550BDD"/>
    <w:multiLevelType w:val="hybridMultilevel"/>
    <w:tmpl w:val="403485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4C27DA"/>
    <w:multiLevelType w:val="hybridMultilevel"/>
    <w:tmpl w:val="0D1899FE"/>
    <w:lvl w:ilvl="0" w:tplc="39C4865C">
      <w:start w:val="1"/>
      <w:numFmt w:val="taiwaneseCountingThousand"/>
      <w:lvlText w:val="%1、"/>
      <w:lvlJc w:val="left"/>
      <w:pPr>
        <w:ind w:left="444" w:hanging="48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9" w15:restartNumberingAfterBreak="0">
    <w:nsid w:val="28190847"/>
    <w:multiLevelType w:val="hybridMultilevel"/>
    <w:tmpl w:val="2E4A4B8C"/>
    <w:lvl w:ilvl="0" w:tplc="17FC6864">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D23A1E"/>
    <w:multiLevelType w:val="hybridMultilevel"/>
    <w:tmpl w:val="88A8F746"/>
    <w:lvl w:ilvl="0" w:tplc="AA7CCD5A">
      <w:start w:val="1"/>
      <w:numFmt w:val="taiwaneseCountingThousand"/>
      <w:lvlText w:val="%1、"/>
      <w:lvlJc w:val="left"/>
      <w:pPr>
        <w:tabs>
          <w:tab w:val="num" w:pos="1200"/>
        </w:tabs>
        <w:ind w:left="1200" w:hanging="480"/>
      </w:pPr>
      <w:rPr>
        <w:rFonts w:ascii="Times New Roman" w:hAnsi="Times New Roman" w:hint="default"/>
      </w:rPr>
    </w:lvl>
    <w:lvl w:ilvl="1" w:tplc="A0182568">
      <w:start w:val="1"/>
      <w:numFmt w:val="taiwaneseCountingThousand"/>
      <w:lvlText w:val="(%2)"/>
      <w:lvlJc w:val="left"/>
      <w:pPr>
        <w:tabs>
          <w:tab w:val="num" w:pos="1680"/>
        </w:tabs>
        <w:ind w:left="1680" w:hanging="48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CF90407"/>
    <w:multiLevelType w:val="hybridMultilevel"/>
    <w:tmpl w:val="ABA21604"/>
    <w:lvl w:ilvl="0" w:tplc="4D144C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1862AB4"/>
    <w:multiLevelType w:val="hybridMultilevel"/>
    <w:tmpl w:val="E82691D0"/>
    <w:lvl w:ilvl="0" w:tplc="FB826CA2">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3" w15:restartNumberingAfterBreak="0">
    <w:nsid w:val="39EA7724"/>
    <w:multiLevelType w:val="hybridMultilevel"/>
    <w:tmpl w:val="2076D9AA"/>
    <w:lvl w:ilvl="0" w:tplc="04090015">
      <w:start w:val="1"/>
      <w:numFmt w:val="taiwaneseCountingThousand"/>
      <w:lvlText w:val="%1、"/>
      <w:lvlJc w:val="left"/>
      <w:pPr>
        <w:ind w:left="1110" w:hanging="48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4" w15:restartNumberingAfterBreak="0">
    <w:nsid w:val="3B4A4558"/>
    <w:multiLevelType w:val="hybridMultilevel"/>
    <w:tmpl w:val="2E4A4B8C"/>
    <w:lvl w:ilvl="0" w:tplc="17FC6864">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317A01"/>
    <w:multiLevelType w:val="multilevel"/>
    <w:tmpl w:val="AEB03A6C"/>
    <w:lvl w:ilvl="0">
      <w:start w:val="1"/>
      <w:numFmt w:val="taiwaneseCountingThousand"/>
      <w:lvlText w:val="%1、"/>
      <w:lvlJc w:val="left"/>
      <w:pPr>
        <w:tabs>
          <w:tab w:val="num" w:pos="1200"/>
        </w:tabs>
        <w:ind w:left="1200" w:hanging="480"/>
      </w:pPr>
      <w:rPr>
        <w:rFonts w:ascii="Times New Roman" w:hAnsi="Times New Roman" w:hint="default"/>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15:restartNumberingAfterBreak="0">
    <w:nsid w:val="3F6827A4"/>
    <w:multiLevelType w:val="hybridMultilevel"/>
    <w:tmpl w:val="8CFABA0E"/>
    <w:lvl w:ilvl="0" w:tplc="FE7EDB8E">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7" w15:restartNumberingAfterBreak="0">
    <w:nsid w:val="4061005C"/>
    <w:multiLevelType w:val="hybridMultilevel"/>
    <w:tmpl w:val="4BAC5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B069B5"/>
    <w:multiLevelType w:val="hybridMultilevel"/>
    <w:tmpl w:val="47CA827A"/>
    <w:lvl w:ilvl="0" w:tplc="E06C1F16">
      <w:start w:val="1"/>
      <w:numFmt w:val="taiwaneseCountingThousand"/>
      <w:lvlText w:val="%1、"/>
      <w:lvlJc w:val="left"/>
      <w:pPr>
        <w:ind w:left="480" w:hanging="480"/>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193719"/>
    <w:multiLevelType w:val="hybridMultilevel"/>
    <w:tmpl w:val="F424C2CE"/>
    <w:lvl w:ilvl="0" w:tplc="D64CB2E6">
      <w:start w:val="1"/>
      <w:numFmt w:val="taiwaneseCountingThousand"/>
      <w:lvlText w:val="%1、"/>
      <w:lvlJc w:val="left"/>
      <w:pPr>
        <w:ind w:left="444" w:hanging="480"/>
      </w:pPr>
      <w:rPr>
        <w:rFonts w:hint="default"/>
        <w:color w:val="auto"/>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0" w15:restartNumberingAfterBreak="0">
    <w:nsid w:val="482863D8"/>
    <w:multiLevelType w:val="hybridMultilevel"/>
    <w:tmpl w:val="20A827B6"/>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A626510"/>
    <w:multiLevelType w:val="hybridMultilevel"/>
    <w:tmpl w:val="E20C77C2"/>
    <w:lvl w:ilvl="0" w:tplc="E57080C6">
      <w:start w:val="1"/>
      <w:numFmt w:val="taiwaneseCountingThousand"/>
      <w:lvlText w:val="%1、"/>
      <w:lvlJc w:val="left"/>
      <w:pPr>
        <w:ind w:left="552" w:hanging="5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9E5311"/>
    <w:multiLevelType w:val="hybridMultilevel"/>
    <w:tmpl w:val="4FD282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BC5DBD"/>
    <w:multiLevelType w:val="hybridMultilevel"/>
    <w:tmpl w:val="5FA266D8"/>
    <w:lvl w:ilvl="0" w:tplc="FD16D224">
      <w:start w:val="1"/>
      <w:numFmt w:val="taiwaneseCountingThousand"/>
      <w:lvlText w:val="%1、"/>
      <w:lvlJc w:val="left"/>
      <w:pPr>
        <w:ind w:left="470" w:hanging="480"/>
      </w:pPr>
      <w:rPr>
        <w:rFonts w:cs="Times New Roman" w:hint="default"/>
        <w:u w:val="none"/>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24" w15:restartNumberingAfterBreak="0">
    <w:nsid w:val="57A05E6C"/>
    <w:multiLevelType w:val="hybridMultilevel"/>
    <w:tmpl w:val="90A22E76"/>
    <w:lvl w:ilvl="0" w:tplc="0AB290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7D552FE"/>
    <w:multiLevelType w:val="hybridMultilevel"/>
    <w:tmpl w:val="1C88EEA0"/>
    <w:lvl w:ilvl="0" w:tplc="5B1EFB08">
      <w:start w:val="1"/>
      <w:numFmt w:val="decimal"/>
      <w:lvlText w:val="%1."/>
      <w:lvlJc w:val="left"/>
      <w:pPr>
        <w:ind w:left="225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2B7692"/>
    <w:multiLevelType w:val="hybridMultilevel"/>
    <w:tmpl w:val="403485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A34D20"/>
    <w:multiLevelType w:val="hybridMultilevel"/>
    <w:tmpl w:val="32368B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BB5A85"/>
    <w:multiLevelType w:val="hybridMultilevel"/>
    <w:tmpl w:val="841A527C"/>
    <w:lvl w:ilvl="0" w:tplc="B00A09DA">
      <w:start w:val="1"/>
      <w:numFmt w:val="taiwaneseCountingThousand"/>
      <w:lvlText w:val="%1、"/>
      <w:lvlJc w:val="left"/>
      <w:pPr>
        <w:ind w:left="384" w:hanging="384"/>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A370F8"/>
    <w:multiLevelType w:val="singleLevel"/>
    <w:tmpl w:val="C1A21FAC"/>
    <w:lvl w:ilvl="0">
      <w:start w:val="7"/>
      <w:numFmt w:val="taiwaneseCountingThousand"/>
      <w:lvlText w:val="第%1條"/>
      <w:lvlJc w:val="left"/>
      <w:pPr>
        <w:tabs>
          <w:tab w:val="num" w:pos="1605"/>
        </w:tabs>
        <w:ind w:left="1605" w:hanging="1605"/>
      </w:pPr>
      <w:rPr>
        <w:rFonts w:hint="eastAsia"/>
      </w:rPr>
    </w:lvl>
  </w:abstractNum>
  <w:abstractNum w:abstractNumId="30" w15:restartNumberingAfterBreak="0">
    <w:nsid w:val="5E9961C0"/>
    <w:multiLevelType w:val="hybridMultilevel"/>
    <w:tmpl w:val="1FF43B1E"/>
    <w:lvl w:ilvl="0" w:tplc="5B1EFB08">
      <w:start w:val="1"/>
      <w:numFmt w:val="decimal"/>
      <w:lvlText w:val="%1."/>
      <w:lvlJc w:val="left"/>
      <w:pPr>
        <w:ind w:left="2250" w:hanging="360"/>
      </w:pPr>
      <w:rPr>
        <w:rFonts w:hint="default"/>
      </w:rPr>
    </w:lvl>
    <w:lvl w:ilvl="1" w:tplc="04090019" w:tentative="1">
      <w:start w:val="1"/>
      <w:numFmt w:val="ideographTraditional"/>
      <w:lvlText w:val="%2、"/>
      <w:lvlJc w:val="left"/>
      <w:pPr>
        <w:ind w:left="2850" w:hanging="480"/>
      </w:pPr>
    </w:lvl>
    <w:lvl w:ilvl="2" w:tplc="0409001B" w:tentative="1">
      <w:start w:val="1"/>
      <w:numFmt w:val="lowerRoman"/>
      <w:lvlText w:val="%3."/>
      <w:lvlJc w:val="right"/>
      <w:pPr>
        <w:ind w:left="3330" w:hanging="480"/>
      </w:pPr>
    </w:lvl>
    <w:lvl w:ilvl="3" w:tplc="0409000F" w:tentative="1">
      <w:start w:val="1"/>
      <w:numFmt w:val="decimal"/>
      <w:lvlText w:val="%4."/>
      <w:lvlJc w:val="left"/>
      <w:pPr>
        <w:ind w:left="3810" w:hanging="480"/>
      </w:pPr>
    </w:lvl>
    <w:lvl w:ilvl="4" w:tplc="04090019" w:tentative="1">
      <w:start w:val="1"/>
      <w:numFmt w:val="ideographTraditional"/>
      <w:lvlText w:val="%5、"/>
      <w:lvlJc w:val="left"/>
      <w:pPr>
        <w:ind w:left="4290" w:hanging="480"/>
      </w:pPr>
    </w:lvl>
    <w:lvl w:ilvl="5" w:tplc="0409001B" w:tentative="1">
      <w:start w:val="1"/>
      <w:numFmt w:val="lowerRoman"/>
      <w:lvlText w:val="%6."/>
      <w:lvlJc w:val="right"/>
      <w:pPr>
        <w:ind w:left="4770" w:hanging="480"/>
      </w:pPr>
    </w:lvl>
    <w:lvl w:ilvl="6" w:tplc="0409000F" w:tentative="1">
      <w:start w:val="1"/>
      <w:numFmt w:val="decimal"/>
      <w:lvlText w:val="%7."/>
      <w:lvlJc w:val="left"/>
      <w:pPr>
        <w:ind w:left="5250" w:hanging="480"/>
      </w:pPr>
    </w:lvl>
    <w:lvl w:ilvl="7" w:tplc="04090019" w:tentative="1">
      <w:start w:val="1"/>
      <w:numFmt w:val="ideographTraditional"/>
      <w:lvlText w:val="%8、"/>
      <w:lvlJc w:val="left"/>
      <w:pPr>
        <w:ind w:left="5730" w:hanging="480"/>
      </w:pPr>
    </w:lvl>
    <w:lvl w:ilvl="8" w:tplc="0409001B" w:tentative="1">
      <w:start w:val="1"/>
      <w:numFmt w:val="lowerRoman"/>
      <w:lvlText w:val="%9."/>
      <w:lvlJc w:val="right"/>
      <w:pPr>
        <w:ind w:left="6210" w:hanging="480"/>
      </w:pPr>
    </w:lvl>
  </w:abstractNum>
  <w:abstractNum w:abstractNumId="31" w15:restartNumberingAfterBreak="0">
    <w:nsid w:val="5EC3279D"/>
    <w:multiLevelType w:val="hybridMultilevel"/>
    <w:tmpl w:val="E66C46E6"/>
    <w:lvl w:ilvl="0" w:tplc="E0363A2E">
      <w:start w:val="1"/>
      <w:numFmt w:val="ideographLegalTraditional"/>
      <w:lvlText w:val="%1、"/>
      <w:lvlJc w:val="left"/>
      <w:pPr>
        <w:tabs>
          <w:tab w:val="num" w:pos="720"/>
        </w:tabs>
        <w:ind w:left="720" w:hanging="720"/>
      </w:pPr>
      <w:rPr>
        <w:rFonts w:hint="default"/>
        <w:b/>
        <w:sz w:val="28"/>
        <w:szCs w:val="28"/>
      </w:rPr>
    </w:lvl>
    <w:lvl w:ilvl="1" w:tplc="E056EFDA">
      <w:start w:val="1"/>
      <w:numFmt w:val="taiwaneseCountingThousand"/>
      <w:lvlText w:val="%2."/>
      <w:lvlJc w:val="left"/>
      <w:pPr>
        <w:tabs>
          <w:tab w:val="num" w:pos="855"/>
        </w:tabs>
        <w:ind w:left="855" w:hanging="375"/>
      </w:pPr>
      <w:rPr>
        <w:rFonts w:hint="default"/>
        <w:b w:val="0"/>
        <w:sz w:val="25"/>
      </w:rPr>
    </w:lvl>
    <w:lvl w:ilvl="2" w:tplc="99606BC8">
      <w:start w:val="1"/>
      <w:numFmt w:val="taiwaneseCountingThousand"/>
      <w:lvlText w:val="(%3)"/>
      <w:lvlJc w:val="left"/>
      <w:pPr>
        <w:tabs>
          <w:tab w:val="num" w:pos="2265"/>
        </w:tabs>
        <w:ind w:left="2265" w:hanging="1305"/>
      </w:pPr>
      <w:rPr>
        <w:rFonts w:hint="default"/>
      </w:rPr>
    </w:lvl>
    <w:lvl w:ilvl="3" w:tplc="D9144E4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0224B62"/>
    <w:multiLevelType w:val="hybridMultilevel"/>
    <w:tmpl w:val="437EAA0A"/>
    <w:lvl w:ilvl="0" w:tplc="E3082BB2">
      <w:start w:val="1"/>
      <w:numFmt w:val="taiwaneseCountingThousand"/>
      <w:lvlText w:val="%1、"/>
      <w:lvlJc w:val="left"/>
      <w:pPr>
        <w:ind w:left="444" w:hanging="480"/>
      </w:pPr>
      <w:rPr>
        <w:rFonts w:hint="default"/>
        <w:u w:val="single"/>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33" w15:restartNumberingAfterBreak="0">
    <w:nsid w:val="61D44344"/>
    <w:multiLevelType w:val="hybridMultilevel"/>
    <w:tmpl w:val="849A85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7597C6C"/>
    <w:multiLevelType w:val="hybridMultilevel"/>
    <w:tmpl w:val="4D58BAAC"/>
    <w:lvl w:ilvl="0" w:tplc="C7FEE9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15:restartNumberingAfterBreak="0">
    <w:nsid w:val="6CE55E2C"/>
    <w:multiLevelType w:val="hybridMultilevel"/>
    <w:tmpl w:val="9440CA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470A9E"/>
    <w:multiLevelType w:val="hybridMultilevel"/>
    <w:tmpl w:val="5EA42F46"/>
    <w:lvl w:ilvl="0" w:tplc="1114A258">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4E48F1"/>
    <w:multiLevelType w:val="hybridMultilevel"/>
    <w:tmpl w:val="5CEE754A"/>
    <w:lvl w:ilvl="0" w:tplc="A52C21DA">
      <w:start w:val="1"/>
      <w:numFmt w:val="taiwaneseCountingThousand"/>
      <w:lvlText w:val="(%1)"/>
      <w:lvlJc w:val="left"/>
      <w:pPr>
        <w:ind w:left="1680" w:hanging="480"/>
      </w:pPr>
      <w:rPr>
        <w:rFonts w:hint="default"/>
      </w:rPr>
    </w:lvl>
    <w:lvl w:ilvl="1" w:tplc="0409000F">
      <w:start w:val="1"/>
      <w:numFmt w:val="decim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723D5AC4"/>
    <w:multiLevelType w:val="hybridMultilevel"/>
    <w:tmpl w:val="EB7217E6"/>
    <w:lvl w:ilvl="0" w:tplc="70A8748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D9470B"/>
    <w:multiLevelType w:val="hybridMultilevel"/>
    <w:tmpl w:val="A2BCA436"/>
    <w:lvl w:ilvl="0" w:tplc="210C3BDE">
      <w:start w:val="1"/>
      <w:numFmt w:val="taiwaneseCountingThousand"/>
      <w:lvlText w:val="%1、"/>
      <w:lvlJc w:val="left"/>
      <w:pPr>
        <w:ind w:left="540" w:hanging="420"/>
      </w:pPr>
      <w:rPr>
        <w:rFonts w:hint="default"/>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15:restartNumberingAfterBreak="0">
    <w:nsid w:val="79935B23"/>
    <w:multiLevelType w:val="hybridMultilevel"/>
    <w:tmpl w:val="9B22FC9E"/>
    <w:lvl w:ilvl="0" w:tplc="FC4A537A">
      <w:start w:val="1"/>
      <w:numFmt w:val="taiwaneseCountingThousand"/>
      <w:lvlText w:val="%1、"/>
      <w:lvlJc w:val="left"/>
      <w:pPr>
        <w:ind w:left="444" w:hanging="480"/>
      </w:pPr>
      <w:rPr>
        <w:rFonts w:ascii="標楷體" w:eastAsia="標楷體" w:hAnsi="標楷體" w:cs="Times New Roman"/>
        <w:color w:val="FF0000"/>
        <w:u w:val="none"/>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41" w15:restartNumberingAfterBreak="0">
    <w:nsid w:val="7BD31F4B"/>
    <w:multiLevelType w:val="hybridMultilevel"/>
    <w:tmpl w:val="06809A82"/>
    <w:lvl w:ilvl="0" w:tplc="DE2E26F8">
      <w:start w:val="1"/>
      <w:numFmt w:val="taiwaneseCountingThousand"/>
      <w:lvlText w:val="%1、"/>
      <w:lvlJc w:val="left"/>
      <w:pPr>
        <w:ind w:left="384" w:hanging="384"/>
      </w:pPr>
      <w:rPr>
        <w:rFonts w:hint="default"/>
        <w:color w:val="FF000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C767E27"/>
    <w:multiLevelType w:val="hybridMultilevel"/>
    <w:tmpl w:val="E46C9E3C"/>
    <w:lvl w:ilvl="0" w:tplc="06983036">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AA6364"/>
    <w:multiLevelType w:val="hybridMultilevel"/>
    <w:tmpl w:val="9E9C4A6E"/>
    <w:lvl w:ilvl="0" w:tplc="8314F76E">
      <w:start w:val="3"/>
      <w:numFmt w:val="ideographLegalTraditional"/>
      <w:lvlText w:val="%1、"/>
      <w:lvlJc w:val="left"/>
      <w:pPr>
        <w:tabs>
          <w:tab w:val="num" w:pos="720"/>
        </w:tabs>
        <w:ind w:left="720"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1"/>
  </w:num>
  <w:num w:numId="3">
    <w:abstractNumId w:val="16"/>
  </w:num>
  <w:num w:numId="4">
    <w:abstractNumId w:val="33"/>
  </w:num>
  <w:num w:numId="5">
    <w:abstractNumId w:val="10"/>
  </w:num>
  <w:num w:numId="6">
    <w:abstractNumId w:val="15"/>
  </w:num>
  <w:num w:numId="7">
    <w:abstractNumId w:val="7"/>
  </w:num>
  <w:num w:numId="8">
    <w:abstractNumId w:val="26"/>
  </w:num>
  <w:num w:numId="9">
    <w:abstractNumId w:val="20"/>
  </w:num>
  <w:num w:numId="10">
    <w:abstractNumId w:val="29"/>
  </w:num>
  <w:num w:numId="11">
    <w:abstractNumId w:val="31"/>
  </w:num>
  <w:num w:numId="12">
    <w:abstractNumId w:val="43"/>
  </w:num>
  <w:num w:numId="13">
    <w:abstractNumId w:val="38"/>
  </w:num>
  <w:num w:numId="14">
    <w:abstractNumId w:val="27"/>
  </w:num>
  <w:num w:numId="15">
    <w:abstractNumId w:val="36"/>
  </w:num>
  <w:num w:numId="16">
    <w:abstractNumId w:val="18"/>
  </w:num>
  <w:num w:numId="17">
    <w:abstractNumId w:val="5"/>
  </w:num>
  <w:num w:numId="18">
    <w:abstractNumId w:val="23"/>
  </w:num>
  <w:num w:numId="19">
    <w:abstractNumId w:val="39"/>
  </w:num>
  <w:num w:numId="20">
    <w:abstractNumId w:val="32"/>
  </w:num>
  <w:num w:numId="21">
    <w:abstractNumId w:val="40"/>
  </w:num>
  <w:num w:numId="22">
    <w:abstractNumId w:val="17"/>
  </w:num>
  <w:num w:numId="23">
    <w:abstractNumId w:val="34"/>
  </w:num>
  <w:num w:numId="24">
    <w:abstractNumId w:val="37"/>
  </w:num>
  <w:num w:numId="25">
    <w:abstractNumId w:val="19"/>
  </w:num>
  <w:num w:numId="26">
    <w:abstractNumId w:val="13"/>
  </w:num>
  <w:num w:numId="27">
    <w:abstractNumId w:val="22"/>
  </w:num>
  <w:num w:numId="28">
    <w:abstractNumId w:val="35"/>
  </w:num>
  <w:num w:numId="29">
    <w:abstractNumId w:val="12"/>
  </w:num>
  <w:num w:numId="30">
    <w:abstractNumId w:val="42"/>
  </w:num>
  <w:num w:numId="31">
    <w:abstractNumId w:val="8"/>
  </w:num>
  <w:num w:numId="32">
    <w:abstractNumId w:val="2"/>
  </w:num>
  <w:num w:numId="33">
    <w:abstractNumId w:val="0"/>
  </w:num>
  <w:num w:numId="34">
    <w:abstractNumId w:val="21"/>
  </w:num>
  <w:num w:numId="35">
    <w:abstractNumId w:val="14"/>
  </w:num>
  <w:num w:numId="36">
    <w:abstractNumId w:val="9"/>
  </w:num>
  <w:num w:numId="37">
    <w:abstractNumId w:val="28"/>
  </w:num>
  <w:num w:numId="38">
    <w:abstractNumId w:val="41"/>
  </w:num>
  <w:num w:numId="39">
    <w:abstractNumId w:val="6"/>
  </w:num>
  <w:num w:numId="40">
    <w:abstractNumId w:val="3"/>
  </w:num>
  <w:num w:numId="41">
    <w:abstractNumId w:val="25"/>
  </w:num>
  <w:num w:numId="42">
    <w:abstractNumId w:val="1"/>
  </w:num>
  <w:num w:numId="43">
    <w:abstractNumId w:val="3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EC"/>
    <w:rsid w:val="00001DD0"/>
    <w:rsid w:val="00011A07"/>
    <w:rsid w:val="00015395"/>
    <w:rsid w:val="0001794E"/>
    <w:rsid w:val="00021595"/>
    <w:rsid w:val="00031BF2"/>
    <w:rsid w:val="000322F2"/>
    <w:rsid w:val="00032538"/>
    <w:rsid w:val="00035C81"/>
    <w:rsid w:val="000360F4"/>
    <w:rsid w:val="000455B8"/>
    <w:rsid w:val="00053C27"/>
    <w:rsid w:val="00080F80"/>
    <w:rsid w:val="00082747"/>
    <w:rsid w:val="000835A1"/>
    <w:rsid w:val="00086CC8"/>
    <w:rsid w:val="00091870"/>
    <w:rsid w:val="00092F88"/>
    <w:rsid w:val="0009695D"/>
    <w:rsid w:val="000A370E"/>
    <w:rsid w:val="000A4350"/>
    <w:rsid w:val="000A559A"/>
    <w:rsid w:val="000A6594"/>
    <w:rsid w:val="000B158D"/>
    <w:rsid w:val="000C24EF"/>
    <w:rsid w:val="000C37EC"/>
    <w:rsid w:val="000C5563"/>
    <w:rsid w:val="000C5898"/>
    <w:rsid w:val="000F3A0B"/>
    <w:rsid w:val="000F41A3"/>
    <w:rsid w:val="000F4FEF"/>
    <w:rsid w:val="000F5299"/>
    <w:rsid w:val="000F7E31"/>
    <w:rsid w:val="001010EA"/>
    <w:rsid w:val="00103134"/>
    <w:rsid w:val="00105F70"/>
    <w:rsid w:val="00111CDF"/>
    <w:rsid w:val="00112BC0"/>
    <w:rsid w:val="00113221"/>
    <w:rsid w:val="00121163"/>
    <w:rsid w:val="00121B6B"/>
    <w:rsid w:val="00130494"/>
    <w:rsid w:val="001317B9"/>
    <w:rsid w:val="00143019"/>
    <w:rsid w:val="001448B9"/>
    <w:rsid w:val="00145D2C"/>
    <w:rsid w:val="00150026"/>
    <w:rsid w:val="00153488"/>
    <w:rsid w:val="001660FD"/>
    <w:rsid w:val="00166542"/>
    <w:rsid w:val="001723AF"/>
    <w:rsid w:val="00172C95"/>
    <w:rsid w:val="001758C2"/>
    <w:rsid w:val="00176741"/>
    <w:rsid w:val="00176A08"/>
    <w:rsid w:val="001846F8"/>
    <w:rsid w:val="0018557A"/>
    <w:rsid w:val="0019110A"/>
    <w:rsid w:val="00194D2D"/>
    <w:rsid w:val="0019572D"/>
    <w:rsid w:val="001A163A"/>
    <w:rsid w:val="001A7EEC"/>
    <w:rsid w:val="001B0C75"/>
    <w:rsid w:val="001B3AE5"/>
    <w:rsid w:val="001B4A3C"/>
    <w:rsid w:val="001B7432"/>
    <w:rsid w:val="001C1DDE"/>
    <w:rsid w:val="001C2D14"/>
    <w:rsid w:val="001D09D1"/>
    <w:rsid w:val="001D6F69"/>
    <w:rsid w:val="001D7B38"/>
    <w:rsid w:val="001F6812"/>
    <w:rsid w:val="001F6826"/>
    <w:rsid w:val="00205ADC"/>
    <w:rsid w:val="00205E1B"/>
    <w:rsid w:val="00211BD6"/>
    <w:rsid w:val="002150B7"/>
    <w:rsid w:val="00215ABF"/>
    <w:rsid w:val="00215D41"/>
    <w:rsid w:val="00222D54"/>
    <w:rsid w:val="00224980"/>
    <w:rsid w:val="00227F64"/>
    <w:rsid w:val="00232AE6"/>
    <w:rsid w:val="002338B5"/>
    <w:rsid w:val="00240525"/>
    <w:rsid w:val="00245F55"/>
    <w:rsid w:val="00252715"/>
    <w:rsid w:val="00255484"/>
    <w:rsid w:val="0025725D"/>
    <w:rsid w:val="002625B7"/>
    <w:rsid w:val="002649A0"/>
    <w:rsid w:val="00283E12"/>
    <w:rsid w:val="00286427"/>
    <w:rsid w:val="00290B81"/>
    <w:rsid w:val="00294EF1"/>
    <w:rsid w:val="002A179B"/>
    <w:rsid w:val="002B14BD"/>
    <w:rsid w:val="002B4009"/>
    <w:rsid w:val="002B641D"/>
    <w:rsid w:val="002C13F1"/>
    <w:rsid w:val="002C1C29"/>
    <w:rsid w:val="002C28DA"/>
    <w:rsid w:val="002C2CC1"/>
    <w:rsid w:val="002C5DD2"/>
    <w:rsid w:val="002D68D9"/>
    <w:rsid w:val="002E4165"/>
    <w:rsid w:val="002F4C90"/>
    <w:rsid w:val="002F5801"/>
    <w:rsid w:val="00302C98"/>
    <w:rsid w:val="003068E5"/>
    <w:rsid w:val="00306CEB"/>
    <w:rsid w:val="00310FDE"/>
    <w:rsid w:val="00311A25"/>
    <w:rsid w:val="00317179"/>
    <w:rsid w:val="0032522F"/>
    <w:rsid w:val="003301BE"/>
    <w:rsid w:val="003303BA"/>
    <w:rsid w:val="0033090F"/>
    <w:rsid w:val="0033644D"/>
    <w:rsid w:val="003375BE"/>
    <w:rsid w:val="00337CAB"/>
    <w:rsid w:val="00340501"/>
    <w:rsid w:val="003418FD"/>
    <w:rsid w:val="00356D44"/>
    <w:rsid w:val="00366305"/>
    <w:rsid w:val="003670EF"/>
    <w:rsid w:val="0037305C"/>
    <w:rsid w:val="00374A7B"/>
    <w:rsid w:val="00381730"/>
    <w:rsid w:val="003874D0"/>
    <w:rsid w:val="00397D0D"/>
    <w:rsid w:val="003A4A48"/>
    <w:rsid w:val="003B0BBC"/>
    <w:rsid w:val="003B19B5"/>
    <w:rsid w:val="003B1DFD"/>
    <w:rsid w:val="003B674E"/>
    <w:rsid w:val="003D427A"/>
    <w:rsid w:val="003D6A24"/>
    <w:rsid w:val="003E215C"/>
    <w:rsid w:val="003F2259"/>
    <w:rsid w:val="003F2617"/>
    <w:rsid w:val="003F6118"/>
    <w:rsid w:val="003F7361"/>
    <w:rsid w:val="004078CE"/>
    <w:rsid w:val="00412C4F"/>
    <w:rsid w:val="004130B6"/>
    <w:rsid w:val="004163C1"/>
    <w:rsid w:val="004164D5"/>
    <w:rsid w:val="004230FC"/>
    <w:rsid w:val="00426924"/>
    <w:rsid w:val="004355F4"/>
    <w:rsid w:val="00436D4D"/>
    <w:rsid w:val="004370AB"/>
    <w:rsid w:val="0044261E"/>
    <w:rsid w:val="00451062"/>
    <w:rsid w:val="00452C85"/>
    <w:rsid w:val="00456503"/>
    <w:rsid w:val="004621B8"/>
    <w:rsid w:val="00463CA2"/>
    <w:rsid w:val="00464D58"/>
    <w:rsid w:val="00464E22"/>
    <w:rsid w:val="00465651"/>
    <w:rsid w:val="00473D99"/>
    <w:rsid w:val="00477ECC"/>
    <w:rsid w:val="00477F7B"/>
    <w:rsid w:val="00483483"/>
    <w:rsid w:val="00487F90"/>
    <w:rsid w:val="00493841"/>
    <w:rsid w:val="004A0E72"/>
    <w:rsid w:val="004A458B"/>
    <w:rsid w:val="004A5560"/>
    <w:rsid w:val="004A6A3D"/>
    <w:rsid w:val="004A7504"/>
    <w:rsid w:val="004A7A67"/>
    <w:rsid w:val="004B0B85"/>
    <w:rsid w:val="004C2596"/>
    <w:rsid w:val="004C358C"/>
    <w:rsid w:val="004C5887"/>
    <w:rsid w:val="004D2CFB"/>
    <w:rsid w:val="004E568C"/>
    <w:rsid w:val="004E6458"/>
    <w:rsid w:val="004E6BA4"/>
    <w:rsid w:val="004F3462"/>
    <w:rsid w:val="004F5C55"/>
    <w:rsid w:val="00520C8D"/>
    <w:rsid w:val="005234A9"/>
    <w:rsid w:val="005273CC"/>
    <w:rsid w:val="00532563"/>
    <w:rsid w:val="005330CE"/>
    <w:rsid w:val="005348AA"/>
    <w:rsid w:val="00534DB7"/>
    <w:rsid w:val="00541178"/>
    <w:rsid w:val="005417AA"/>
    <w:rsid w:val="00553D1D"/>
    <w:rsid w:val="005625D8"/>
    <w:rsid w:val="00562B99"/>
    <w:rsid w:val="00565671"/>
    <w:rsid w:val="00572F22"/>
    <w:rsid w:val="005735FE"/>
    <w:rsid w:val="00574BBF"/>
    <w:rsid w:val="00584BB8"/>
    <w:rsid w:val="005911B7"/>
    <w:rsid w:val="00593F96"/>
    <w:rsid w:val="00594B3E"/>
    <w:rsid w:val="00595E91"/>
    <w:rsid w:val="00596AB2"/>
    <w:rsid w:val="00596CF5"/>
    <w:rsid w:val="005B0627"/>
    <w:rsid w:val="005B2650"/>
    <w:rsid w:val="005B2E11"/>
    <w:rsid w:val="005B60BC"/>
    <w:rsid w:val="005B6176"/>
    <w:rsid w:val="005B6580"/>
    <w:rsid w:val="005C3C60"/>
    <w:rsid w:val="005C6572"/>
    <w:rsid w:val="005D1989"/>
    <w:rsid w:val="005D760A"/>
    <w:rsid w:val="005E0813"/>
    <w:rsid w:val="005E484D"/>
    <w:rsid w:val="005E5CE0"/>
    <w:rsid w:val="005E7435"/>
    <w:rsid w:val="005E7848"/>
    <w:rsid w:val="00601DE4"/>
    <w:rsid w:val="00611634"/>
    <w:rsid w:val="00612114"/>
    <w:rsid w:val="006142BE"/>
    <w:rsid w:val="00616AD6"/>
    <w:rsid w:val="00617505"/>
    <w:rsid w:val="00632028"/>
    <w:rsid w:val="00633575"/>
    <w:rsid w:val="006413A8"/>
    <w:rsid w:val="006439A3"/>
    <w:rsid w:val="00644D37"/>
    <w:rsid w:val="006574D3"/>
    <w:rsid w:val="00661813"/>
    <w:rsid w:val="006623F0"/>
    <w:rsid w:val="0066319F"/>
    <w:rsid w:val="00664645"/>
    <w:rsid w:val="0066708A"/>
    <w:rsid w:val="00667419"/>
    <w:rsid w:val="00667957"/>
    <w:rsid w:val="00677501"/>
    <w:rsid w:val="006776A4"/>
    <w:rsid w:val="00683CE7"/>
    <w:rsid w:val="00685C53"/>
    <w:rsid w:val="006860BA"/>
    <w:rsid w:val="00686E71"/>
    <w:rsid w:val="006956F0"/>
    <w:rsid w:val="0069785E"/>
    <w:rsid w:val="006A69FD"/>
    <w:rsid w:val="006B6C35"/>
    <w:rsid w:val="006C18A0"/>
    <w:rsid w:val="006C4F53"/>
    <w:rsid w:val="006D1560"/>
    <w:rsid w:val="006D3D6A"/>
    <w:rsid w:val="006D5205"/>
    <w:rsid w:val="006E3945"/>
    <w:rsid w:val="006E56D0"/>
    <w:rsid w:val="006F6AAA"/>
    <w:rsid w:val="00707E89"/>
    <w:rsid w:val="0071342A"/>
    <w:rsid w:val="00722D55"/>
    <w:rsid w:val="007247C0"/>
    <w:rsid w:val="00724F80"/>
    <w:rsid w:val="00727B71"/>
    <w:rsid w:val="00740FB4"/>
    <w:rsid w:val="00761DD1"/>
    <w:rsid w:val="00762355"/>
    <w:rsid w:val="0076288E"/>
    <w:rsid w:val="00763CA5"/>
    <w:rsid w:val="00766ED2"/>
    <w:rsid w:val="00770EED"/>
    <w:rsid w:val="00772B37"/>
    <w:rsid w:val="00780B4E"/>
    <w:rsid w:val="0078209C"/>
    <w:rsid w:val="007843FA"/>
    <w:rsid w:val="007856D1"/>
    <w:rsid w:val="00791BAF"/>
    <w:rsid w:val="0079618C"/>
    <w:rsid w:val="007A09B7"/>
    <w:rsid w:val="007A6F4D"/>
    <w:rsid w:val="007B2313"/>
    <w:rsid w:val="007B7513"/>
    <w:rsid w:val="007C0653"/>
    <w:rsid w:val="007C7883"/>
    <w:rsid w:val="007C7EDA"/>
    <w:rsid w:val="007D16B3"/>
    <w:rsid w:val="007D62E6"/>
    <w:rsid w:val="007E1746"/>
    <w:rsid w:val="007E19D2"/>
    <w:rsid w:val="007E578F"/>
    <w:rsid w:val="007E68B1"/>
    <w:rsid w:val="007E7270"/>
    <w:rsid w:val="007F56A5"/>
    <w:rsid w:val="007F5D04"/>
    <w:rsid w:val="007F68DE"/>
    <w:rsid w:val="007F69E2"/>
    <w:rsid w:val="00801FCA"/>
    <w:rsid w:val="008168B2"/>
    <w:rsid w:val="008252EA"/>
    <w:rsid w:val="0082587D"/>
    <w:rsid w:val="00827520"/>
    <w:rsid w:val="0083077C"/>
    <w:rsid w:val="0083301A"/>
    <w:rsid w:val="00833321"/>
    <w:rsid w:val="00833713"/>
    <w:rsid w:val="008373F2"/>
    <w:rsid w:val="00843CFF"/>
    <w:rsid w:val="00844705"/>
    <w:rsid w:val="00857717"/>
    <w:rsid w:val="008623C0"/>
    <w:rsid w:val="008626E0"/>
    <w:rsid w:val="00863B93"/>
    <w:rsid w:val="00865777"/>
    <w:rsid w:val="00870A21"/>
    <w:rsid w:val="008802D7"/>
    <w:rsid w:val="00886B91"/>
    <w:rsid w:val="008A3827"/>
    <w:rsid w:val="008A4856"/>
    <w:rsid w:val="008A6786"/>
    <w:rsid w:val="008B0809"/>
    <w:rsid w:val="008B37C3"/>
    <w:rsid w:val="008B468B"/>
    <w:rsid w:val="008C24DB"/>
    <w:rsid w:val="008C2B16"/>
    <w:rsid w:val="008D2A8B"/>
    <w:rsid w:val="008D4573"/>
    <w:rsid w:val="008E03F7"/>
    <w:rsid w:val="008E3C87"/>
    <w:rsid w:val="008E4433"/>
    <w:rsid w:val="008E6152"/>
    <w:rsid w:val="008E6EE6"/>
    <w:rsid w:val="008F43FA"/>
    <w:rsid w:val="00900ABA"/>
    <w:rsid w:val="00901BDF"/>
    <w:rsid w:val="00907123"/>
    <w:rsid w:val="00916797"/>
    <w:rsid w:val="009170EA"/>
    <w:rsid w:val="00927700"/>
    <w:rsid w:val="0093213C"/>
    <w:rsid w:val="0093623D"/>
    <w:rsid w:val="0093690D"/>
    <w:rsid w:val="0094191B"/>
    <w:rsid w:val="00946885"/>
    <w:rsid w:val="00951D04"/>
    <w:rsid w:val="00964E67"/>
    <w:rsid w:val="00964EBA"/>
    <w:rsid w:val="009807EF"/>
    <w:rsid w:val="009926CB"/>
    <w:rsid w:val="009A5154"/>
    <w:rsid w:val="009B39F2"/>
    <w:rsid w:val="009B59F6"/>
    <w:rsid w:val="009B5C74"/>
    <w:rsid w:val="009C506E"/>
    <w:rsid w:val="009E2F53"/>
    <w:rsid w:val="009E471E"/>
    <w:rsid w:val="009E5875"/>
    <w:rsid w:val="009E5B69"/>
    <w:rsid w:val="00A00CAC"/>
    <w:rsid w:val="00A02538"/>
    <w:rsid w:val="00A02DF5"/>
    <w:rsid w:val="00A0369B"/>
    <w:rsid w:val="00A062FC"/>
    <w:rsid w:val="00A10921"/>
    <w:rsid w:val="00A2190F"/>
    <w:rsid w:val="00A3147E"/>
    <w:rsid w:val="00A31C9A"/>
    <w:rsid w:val="00A3532C"/>
    <w:rsid w:val="00A47B38"/>
    <w:rsid w:val="00A6122D"/>
    <w:rsid w:val="00A65869"/>
    <w:rsid w:val="00A73DD4"/>
    <w:rsid w:val="00A756E8"/>
    <w:rsid w:val="00A77331"/>
    <w:rsid w:val="00A77C88"/>
    <w:rsid w:val="00A77FC1"/>
    <w:rsid w:val="00A83118"/>
    <w:rsid w:val="00A83AFC"/>
    <w:rsid w:val="00A93AA6"/>
    <w:rsid w:val="00A9567B"/>
    <w:rsid w:val="00AA0F68"/>
    <w:rsid w:val="00AA1068"/>
    <w:rsid w:val="00AA5D52"/>
    <w:rsid w:val="00AA7C81"/>
    <w:rsid w:val="00AA7E31"/>
    <w:rsid w:val="00AB0264"/>
    <w:rsid w:val="00AB196A"/>
    <w:rsid w:val="00AB39BC"/>
    <w:rsid w:val="00AB7377"/>
    <w:rsid w:val="00AC55D0"/>
    <w:rsid w:val="00AC5AD2"/>
    <w:rsid w:val="00AC61E7"/>
    <w:rsid w:val="00AC670E"/>
    <w:rsid w:val="00AC6956"/>
    <w:rsid w:val="00AD22A3"/>
    <w:rsid w:val="00AD7095"/>
    <w:rsid w:val="00AE12CC"/>
    <w:rsid w:val="00AE3372"/>
    <w:rsid w:val="00AE3DCC"/>
    <w:rsid w:val="00AE41BE"/>
    <w:rsid w:val="00AE5667"/>
    <w:rsid w:val="00B06B7E"/>
    <w:rsid w:val="00B210A4"/>
    <w:rsid w:val="00B23DE8"/>
    <w:rsid w:val="00B24BA1"/>
    <w:rsid w:val="00B24FE4"/>
    <w:rsid w:val="00B2776C"/>
    <w:rsid w:val="00B310C1"/>
    <w:rsid w:val="00B31456"/>
    <w:rsid w:val="00B3428A"/>
    <w:rsid w:val="00B362DD"/>
    <w:rsid w:val="00B426BA"/>
    <w:rsid w:val="00B45548"/>
    <w:rsid w:val="00B479B7"/>
    <w:rsid w:val="00B52AD5"/>
    <w:rsid w:val="00B66406"/>
    <w:rsid w:val="00B75050"/>
    <w:rsid w:val="00B8206C"/>
    <w:rsid w:val="00B8290F"/>
    <w:rsid w:val="00B82B36"/>
    <w:rsid w:val="00B87640"/>
    <w:rsid w:val="00B90A74"/>
    <w:rsid w:val="00B91306"/>
    <w:rsid w:val="00B93EFB"/>
    <w:rsid w:val="00BA6C97"/>
    <w:rsid w:val="00BB333A"/>
    <w:rsid w:val="00BB550C"/>
    <w:rsid w:val="00BB7B9D"/>
    <w:rsid w:val="00BC0055"/>
    <w:rsid w:val="00BC0C24"/>
    <w:rsid w:val="00BC2CB5"/>
    <w:rsid w:val="00BC5760"/>
    <w:rsid w:val="00BC6E05"/>
    <w:rsid w:val="00BD41A3"/>
    <w:rsid w:val="00BD5BD4"/>
    <w:rsid w:val="00BE2325"/>
    <w:rsid w:val="00BF0A69"/>
    <w:rsid w:val="00BF16C1"/>
    <w:rsid w:val="00BF4BB7"/>
    <w:rsid w:val="00BF4D1F"/>
    <w:rsid w:val="00BF7FE0"/>
    <w:rsid w:val="00C062D6"/>
    <w:rsid w:val="00C2682C"/>
    <w:rsid w:val="00C37A5D"/>
    <w:rsid w:val="00C40AF7"/>
    <w:rsid w:val="00C45F26"/>
    <w:rsid w:val="00C5451D"/>
    <w:rsid w:val="00C55D48"/>
    <w:rsid w:val="00C62C41"/>
    <w:rsid w:val="00C74995"/>
    <w:rsid w:val="00C75034"/>
    <w:rsid w:val="00C77484"/>
    <w:rsid w:val="00C81D0C"/>
    <w:rsid w:val="00C86193"/>
    <w:rsid w:val="00C943B7"/>
    <w:rsid w:val="00C9441E"/>
    <w:rsid w:val="00C97228"/>
    <w:rsid w:val="00C978E0"/>
    <w:rsid w:val="00CA0E55"/>
    <w:rsid w:val="00CA1BDC"/>
    <w:rsid w:val="00CB4B03"/>
    <w:rsid w:val="00CC1F93"/>
    <w:rsid w:val="00CC6C6F"/>
    <w:rsid w:val="00CC739B"/>
    <w:rsid w:val="00CC75B1"/>
    <w:rsid w:val="00CD140A"/>
    <w:rsid w:val="00CD481A"/>
    <w:rsid w:val="00CE11FC"/>
    <w:rsid w:val="00CE43FC"/>
    <w:rsid w:val="00CF6889"/>
    <w:rsid w:val="00CF6F52"/>
    <w:rsid w:val="00D026F6"/>
    <w:rsid w:val="00D0314C"/>
    <w:rsid w:val="00D03965"/>
    <w:rsid w:val="00D16B52"/>
    <w:rsid w:val="00D20A3B"/>
    <w:rsid w:val="00D24373"/>
    <w:rsid w:val="00D25A4A"/>
    <w:rsid w:val="00D33789"/>
    <w:rsid w:val="00D36724"/>
    <w:rsid w:val="00D409C3"/>
    <w:rsid w:val="00D41021"/>
    <w:rsid w:val="00D41661"/>
    <w:rsid w:val="00D41B1F"/>
    <w:rsid w:val="00D44C20"/>
    <w:rsid w:val="00D4601C"/>
    <w:rsid w:val="00D54EE3"/>
    <w:rsid w:val="00D5720E"/>
    <w:rsid w:val="00D574E2"/>
    <w:rsid w:val="00D61C9F"/>
    <w:rsid w:val="00D6441A"/>
    <w:rsid w:val="00D649C7"/>
    <w:rsid w:val="00D64FB9"/>
    <w:rsid w:val="00D705E9"/>
    <w:rsid w:val="00D7632A"/>
    <w:rsid w:val="00D76AEB"/>
    <w:rsid w:val="00D8791D"/>
    <w:rsid w:val="00D9324A"/>
    <w:rsid w:val="00D93370"/>
    <w:rsid w:val="00D9665A"/>
    <w:rsid w:val="00DA47EA"/>
    <w:rsid w:val="00DB138C"/>
    <w:rsid w:val="00DB1566"/>
    <w:rsid w:val="00DB3A6C"/>
    <w:rsid w:val="00DC244B"/>
    <w:rsid w:val="00DC4A31"/>
    <w:rsid w:val="00DC5188"/>
    <w:rsid w:val="00DC76CF"/>
    <w:rsid w:val="00DD15ED"/>
    <w:rsid w:val="00DD5F9F"/>
    <w:rsid w:val="00DF1F26"/>
    <w:rsid w:val="00DF2B59"/>
    <w:rsid w:val="00DF4003"/>
    <w:rsid w:val="00E04F7F"/>
    <w:rsid w:val="00E05DEE"/>
    <w:rsid w:val="00E15D47"/>
    <w:rsid w:val="00E2109F"/>
    <w:rsid w:val="00E32CA1"/>
    <w:rsid w:val="00E436E3"/>
    <w:rsid w:val="00E4412C"/>
    <w:rsid w:val="00E44690"/>
    <w:rsid w:val="00E46854"/>
    <w:rsid w:val="00E506E8"/>
    <w:rsid w:val="00E55238"/>
    <w:rsid w:val="00E57D47"/>
    <w:rsid w:val="00E62E22"/>
    <w:rsid w:val="00E66BE0"/>
    <w:rsid w:val="00E724EA"/>
    <w:rsid w:val="00E74620"/>
    <w:rsid w:val="00E75F68"/>
    <w:rsid w:val="00E8585F"/>
    <w:rsid w:val="00E87951"/>
    <w:rsid w:val="00E9372F"/>
    <w:rsid w:val="00E94F07"/>
    <w:rsid w:val="00E94FFF"/>
    <w:rsid w:val="00E95CCA"/>
    <w:rsid w:val="00EA07FC"/>
    <w:rsid w:val="00EA2CAF"/>
    <w:rsid w:val="00EB2B49"/>
    <w:rsid w:val="00EB36AF"/>
    <w:rsid w:val="00EB3787"/>
    <w:rsid w:val="00EB43EF"/>
    <w:rsid w:val="00EB512D"/>
    <w:rsid w:val="00EB7669"/>
    <w:rsid w:val="00EC1DE9"/>
    <w:rsid w:val="00EC3CE9"/>
    <w:rsid w:val="00EC4CF8"/>
    <w:rsid w:val="00ED4051"/>
    <w:rsid w:val="00ED7217"/>
    <w:rsid w:val="00EF5BA8"/>
    <w:rsid w:val="00EF7330"/>
    <w:rsid w:val="00EF790D"/>
    <w:rsid w:val="00F05F38"/>
    <w:rsid w:val="00F10FAC"/>
    <w:rsid w:val="00F257EE"/>
    <w:rsid w:val="00F2726A"/>
    <w:rsid w:val="00F319EB"/>
    <w:rsid w:val="00F32BAF"/>
    <w:rsid w:val="00F55687"/>
    <w:rsid w:val="00F601F6"/>
    <w:rsid w:val="00F6286D"/>
    <w:rsid w:val="00F62ABB"/>
    <w:rsid w:val="00F6472C"/>
    <w:rsid w:val="00F65C66"/>
    <w:rsid w:val="00F70403"/>
    <w:rsid w:val="00F71318"/>
    <w:rsid w:val="00F84CB5"/>
    <w:rsid w:val="00FA0834"/>
    <w:rsid w:val="00FA52E1"/>
    <w:rsid w:val="00FA654F"/>
    <w:rsid w:val="00FB1AA3"/>
    <w:rsid w:val="00FB2615"/>
    <w:rsid w:val="00FB359E"/>
    <w:rsid w:val="00FB42BD"/>
    <w:rsid w:val="00FB4819"/>
    <w:rsid w:val="00FB49A0"/>
    <w:rsid w:val="00FC03A1"/>
    <w:rsid w:val="00FC263E"/>
    <w:rsid w:val="00FC292A"/>
    <w:rsid w:val="00FC761F"/>
    <w:rsid w:val="00FD7CA2"/>
    <w:rsid w:val="00FE0A64"/>
    <w:rsid w:val="00FF2226"/>
    <w:rsid w:val="00FF65E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060E8"/>
  <w15:chartTrackingRefBased/>
  <w15:docId w15:val="{E552043D-B7B5-486E-A169-2C32A5B4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7419"/>
    <w:pPr>
      <w:widowControl w:val="0"/>
    </w:pPr>
    <w:rPr>
      <w:kern w:val="2"/>
      <w:sz w:val="24"/>
      <w:szCs w:val="24"/>
    </w:rPr>
  </w:style>
  <w:style w:type="paragraph" w:styleId="3">
    <w:name w:val="heading 3"/>
    <w:basedOn w:val="a"/>
    <w:next w:val="a"/>
    <w:link w:val="30"/>
    <w:autoRedefine/>
    <w:qFormat/>
    <w:rsid w:val="00211BD6"/>
    <w:pPr>
      <w:tabs>
        <w:tab w:val="left" w:pos="7740"/>
      </w:tabs>
      <w:spacing w:line="360" w:lineRule="auto"/>
      <w:ind w:leftChars="-45" w:left="-108"/>
      <w:jc w:val="both"/>
      <w:outlineLvl w:val="2"/>
    </w:pPr>
    <w:rPr>
      <w:rFonts w:ascii="標楷體" w:eastAsia="標楷體" w:hAnsi="標楷體"/>
      <w:b/>
      <w:bCs/>
      <w:color w:val="00000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A7EEC"/>
    <w:pPr>
      <w:tabs>
        <w:tab w:val="center" w:pos="4153"/>
        <w:tab w:val="right" w:pos="8306"/>
      </w:tabs>
      <w:snapToGrid w:val="0"/>
    </w:pPr>
    <w:rPr>
      <w:rFonts w:eastAsia="標楷體"/>
      <w:sz w:val="20"/>
      <w:szCs w:val="20"/>
      <w:lang w:val="x-none" w:eastAsia="x-none"/>
    </w:rPr>
  </w:style>
  <w:style w:type="table" w:styleId="a5">
    <w:name w:val="Table Grid"/>
    <w:basedOn w:val="a1"/>
    <w:uiPriority w:val="59"/>
    <w:rsid w:val="001A7E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6E56D0"/>
    <w:pPr>
      <w:ind w:left="851" w:hanging="851"/>
    </w:pPr>
    <w:rPr>
      <w:rFonts w:ascii="標楷體" w:eastAsia="標楷體"/>
      <w:sz w:val="32"/>
      <w:szCs w:val="20"/>
    </w:rPr>
  </w:style>
  <w:style w:type="paragraph" w:styleId="a8">
    <w:name w:val="Balloon Text"/>
    <w:basedOn w:val="a"/>
    <w:semiHidden/>
    <w:rsid w:val="00B8290F"/>
    <w:rPr>
      <w:rFonts w:ascii="Arial" w:hAnsi="Arial"/>
      <w:sz w:val="18"/>
      <w:szCs w:val="18"/>
    </w:rPr>
  </w:style>
  <w:style w:type="paragraph" w:styleId="a9">
    <w:name w:val="Body Text"/>
    <w:basedOn w:val="a"/>
    <w:rsid w:val="00D36724"/>
    <w:pPr>
      <w:spacing w:after="120"/>
    </w:pPr>
  </w:style>
  <w:style w:type="paragraph" w:customStyle="1" w:styleId="aa">
    <w:name w:val="...."/>
    <w:basedOn w:val="a"/>
    <w:next w:val="a"/>
    <w:rsid w:val="00302C98"/>
    <w:pPr>
      <w:autoSpaceDE w:val="0"/>
      <w:autoSpaceDN w:val="0"/>
      <w:adjustRightInd w:val="0"/>
    </w:pPr>
    <w:rPr>
      <w:rFonts w:ascii="標楷體" w:eastAsia="標楷體"/>
      <w:kern w:val="0"/>
    </w:rPr>
  </w:style>
  <w:style w:type="paragraph" w:styleId="Web">
    <w:name w:val="Normal (Web)"/>
    <w:basedOn w:val="a"/>
    <w:link w:val="Web0"/>
    <w:rsid w:val="004164D5"/>
    <w:pPr>
      <w:widowControl/>
      <w:spacing w:before="100" w:after="100"/>
    </w:pPr>
    <w:rPr>
      <w:rFonts w:ascii="新細明體"/>
      <w:kern w:val="0"/>
      <w:szCs w:val="20"/>
    </w:rPr>
  </w:style>
  <w:style w:type="character" w:customStyle="1" w:styleId="Web0">
    <w:name w:val="內文 (Web) 字元"/>
    <w:link w:val="Web"/>
    <w:rsid w:val="004164D5"/>
    <w:rPr>
      <w:rFonts w:ascii="新細明體" w:eastAsia="新細明體"/>
      <w:sz w:val="24"/>
      <w:lang w:val="en-US" w:eastAsia="zh-TW" w:bidi="ar-SA"/>
    </w:rPr>
  </w:style>
  <w:style w:type="paragraph" w:styleId="ab">
    <w:name w:val="footer"/>
    <w:basedOn w:val="a"/>
    <w:link w:val="ac"/>
    <w:rsid w:val="00D20A3B"/>
    <w:pPr>
      <w:tabs>
        <w:tab w:val="center" w:pos="4153"/>
        <w:tab w:val="right" w:pos="8306"/>
      </w:tabs>
      <w:snapToGrid w:val="0"/>
    </w:pPr>
    <w:rPr>
      <w:sz w:val="20"/>
      <w:szCs w:val="20"/>
      <w:lang w:val="x-none" w:eastAsia="x-none"/>
    </w:rPr>
  </w:style>
  <w:style w:type="character" w:customStyle="1" w:styleId="ac">
    <w:name w:val="頁尾 字元"/>
    <w:link w:val="ab"/>
    <w:rsid w:val="00D20A3B"/>
    <w:rPr>
      <w:kern w:val="2"/>
    </w:rPr>
  </w:style>
  <w:style w:type="character" w:customStyle="1" w:styleId="1">
    <w:name w:val="樣式1 字元"/>
    <w:link w:val="10"/>
    <w:locked/>
    <w:rsid w:val="005911B7"/>
    <w:rPr>
      <w:rFonts w:ascii="標楷體" w:eastAsia="標楷體" w:hAnsi="標楷體"/>
      <w:sz w:val="28"/>
      <w:szCs w:val="28"/>
    </w:rPr>
  </w:style>
  <w:style w:type="paragraph" w:customStyle="1" w:styleId="10">
    <w:name w:val="樣式1"/>
    <w:basedOn w:val="a"/>
    <w:link w:val="1"/>
    <w:qFormat/>
    <w:rsid w:val="005911B7"/>
    <w:pPr>
      <w:adjustRightInd w:val="0"/>
      <w:spacing w:line="400" w:lineRule="atLeast"/>
      <w:ind w:left="851" w:hanging="624"/>
      <w:jc w:val="both"/>
    </w:pPr>
    <w:rPr>
      <w:rFonts w:ascii="標楷體" w:eastAsia="標楷體" w:hAnsi="標楷體"/>
      <w:kern w:val="0"/>
      <w:sz w:val="28"/>
      <w:szCs w:val="28"/>
      <w:lang w:val="x-none" w:eastAsia="x-none"/>
    </w:rPr>
  </w:style>
  <w:style w:type="character" w:customStyle="1" w:styleId="a4">
    <w:name w:val="頁首 字元"/>
    <w:link w:val="a3"/>
    <w:rsid w:val="004A0E72"/>
    <w:rPr>
      <w:rFonts w:eastAsia="標楷體"/>
      <w:kern w:val="2"/>
    </w:rPr>
  </w:style>
  <w:style w:type="paragraph" w:styleId="HTML">
    <w:name w:val="HTML Preformatted"/>
    <w:basedOn w:val="a"/>
    <w:link w:val="HTML0"/>
    <w:rsid w:val="00B210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rsid w:val="00B210A4"/>
    <w:rPr>
      <w:rFonts w:ascii="細明體" w:eastAsia="細明體" w:hAnsi="Courier New" w:cs="Courier New"/>
    </w:rPr>
  </w:style>
  <w:style w:type="character" w:customStyle="1" w:styleId="30">
    <w:name w:val="標題 3 字元"/>
    <w:link w:val="3"/>
    <w:rsid w:val="00211BD6"/>
    <w:rPr>
      <w:rFonts w:ascii="標楷體" w:eastAsia="標楷體" w:hAnsi="標楷體"/>
      <w:b/>
      <w:bCs/>
      <w:color w:val="000000"/>
      <w:kern w:val="2"/>
      <w:sz w:val="24"/>
      <w:szCs w:val="24"/>
    </w:rPr>
  </w:style>
  <w:style w:type="character" w:customStyle="1" w:styleId="a7">
    <w:name w:val="本文縮排 字元"/>
    <w:link w:val="a6"/>
    <w:rsid w:val="005B0627"/>
    <w:rPr>
      <w:rFonts w:ascii="標楷體" w:eastAsia="標楷體"/>
      <w:kern w:val="2"/>
      <w:sz w:val="32"/>
    </w:rPr>
  </w:style>
  <w:style w:type="character" w:styleId="ad">
    <w:name w:val="Hyperlink"/>
    <w:uiPriority w:val="99"/>
    <w:rsid w:val="000360F4"/>
    <w:rPr>
      <w:color w:val="0000FF"/>
      <w:u w:val="single"/>
    </w:rPr>
  </w:style>
  <w:style w:type="paragraph" w:customStyle="1" w:styleId="11">
    <w:name w:val="清單段落1"/>
    <w:basedOn w:val="a"/>
    <w:rsid w:val="003F7361"/>
    <w:pPr>
      <w:ind w:leftChars="200" w:left="480"/>
    </w:pPr>
    <w:rPr>
      <w:rFonts w:ascii="Calibri" w:hAnsi="Calibri"/>
      <w:szCs w:val="22"/>
    </w:rPr>
  </w:style>
  <w:style w:type="paragraph" w:styleId="2">
    <w:name w:val="Body Text Indent 2"/>
    <w:basedOn w:val="a"/>
    <w:link w:val="20"/>
    <w:rsid w:val="00366305"/>
    <w:pPr>
      <w:spacing w:after="120" w:line="480" w:lineRule="auto"/>
      <w:ind w:leftChars="200" w:left="480"/>
    </w:pPr>
  </w:style>
  <w:style w:type="character" w:customStyle="1" w:styleId="20">
    <w:name w:val="本文縮排 2 字元"/>
    <w:link w:val="2"/>
    <w:rsid w:val="00366305"/>
    <w:rPr>
      <w:kern w:val="2"/>
      <w:sz w:val="24"/>
      <w:szCs w:val="24"/>
    </w:rPr>
  </w:style>
  <w:style w:type="paragraph" w:styleId="ae">
    <w:name w:val="Plain Text"/>
    <w:aliases w:val="一般文字 字元, 字元 字元 字元,字元 字元 字元"/>
    <w:basedOn w:val="a"/>
    <w:link w:val="af"/>
    <w:rsid w:val="00366305"/>
    <w:rPr>
      <w:rFonts w:ascii="細明體" w:eastAsia="細明體" w:hAnsi="Courier New"/>
      <w:szCs w:val="20"/>
    </w:rPr>
  </w:style>
  <w:style w:type="character" w:customStyle="1" w:styleId="af">
    <w:name w:val="純文字 字元"/>
    <w:aliases w:val="一般文字 字元 字元, 字元 字元 字元 字元,字元 字元 字元 字元"/>
    <w:link w:val="ae"/>
    <w:rsid w:val="00366305"/>
    <w:rPr>
      <w:rFonts w:ascii="細明體" w:eastAsia="細明體" w:hAnsi="Courier New"/>
      <w:kern w:val="2"/>
      <w:sz w:val="24"/>
    </w:rPr>
  </w:style>
  <w:style w:type="paragraph" w:customStyle="1" w:styleId="Default1">
    <w:name w:val="Default1"/>
    <w:basedOn w:val="a"/>
    <w:next w:val="a"/>
    <w:rsid w:val="00366305"/>
    <w:pPr>
      <w:autoSpaceDE w:val="0"/>
      <w:autoSpaceDN w:val="0"/>
      <w:adjustRightInd w:val="0"/>
    </w:pPr>
    <w:rPr>
      <w:rFonts w:ascii="標楷體" w:eastAsia="標楷體"/>
      <w:kern w:val="0"/>
      <w:sz w:val="20"/>
    </w:rPr>
  </w:style>
  <w:style w:type="character" w:customStyle="1" w:styleId="12">
    <w:name w:val="未解析的提及項目1"/>
    <w:uiPriority w:val="99"/>
    <w:semiHidden/>
    <w:unhideWhenUsed/>
    <w:rsid w:val="00901BDF"/>
    <w:rPr>
      <w:color w:val="605E5C"/>
      <w:shd w:val="clear" w:color="auto" w:fill="E1DFDD"/>
    </w:rPr>
  </w:style>
  <w:style w:type="paragraph" w:styleId="af0">
    <w:name w:val="List Paragraph"/>
    <w:basedOn w:val="a"/>
    <w:uiPriority w:val="34"/>
    <w:qFormat/>
    <w:rsid w:val="001723A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0925">
      <w:bodyDiv w:val="1"/>
      <w:marLeft w:val="0"/>
      <w:marRight w:val="0"/>
      <w:marTop w:val="0"/>
      <w:marBottom w:val="0"/>
      <w:divBdr>
        <w:top w:val="none" w:sz="0" w:space="0" w:color="auto"/>
        <w:left w:val="none" w:sz="0" w:space="0" w:color="auto"/>
        <w:bottom w:val="none" w:sz="0" w:space="0" w:color="auto"/>
        <w:right w:val="none" w:sz="0" w:space="0" w:color="auto"/>
      </w:divBdr>
    </w:div>
    <w:div w:id="363290893">
      <w:bodyDiv w:val="1"/>
      <w:marLeft w:val="0"/>
      <w:marRight w:val="0"/>
      <w:marTop w:val="0"/>
      <w:marBottom w:val="0"/>
      <w:divBdr>
        <w:top w:val="none" w:sz="0" w:space="0" w:color="auto"/>
        <w:left w:val="none" w:sz="0" w:space="0" w:color="auto"/>
        <w:bottom w:val="none" w:sz="0" w:space="0" w:color="auto"/>
        <w:right w:val="none" w:sz="0" w:space="0" w:color="auto"/>
      </w:divBdr>
      <w:divsChild>
        <w:div w:id="1801914976">
          <w:marLeft w:val="0"/>
          <w:marRight w:val="0"/>
          <w:marTop w:val="0"/>
          <w:marBottom w:val="0"/>
          <w:divBdr>
            <w:top w:val="none" w:sz="0" w:space="0" w:color="auto"/>
            <w:left w:val="none" w:sz="0" w:space="0" w:color="auto"/>
            <w:bottom w:val="none" w:sz="0" w:space="0" w:color="auto"/>
            <w:right w:val="none" w:sz="0" w:space="0" w:color="auto"/>
          </w:divBdr>
          <w:divsChild>
            <w:div w:id="219173676">
              <w:marLeft w:val="0"/>
              <w:marRight w:val="0"/>
              <w:marTop w:val="0"/>
              <w:marBottom w:val="0"/>
              <w:divBdr>
                <w:top w:val="none" w:sz="0" w:space="0" w:color="auto"/>
                <w:left w:val="none" w:sz="0" w:space="0" w:color="auto"/>
                <w:bottom w:val="none" w:sz="0" w:space="0" w:color="auto"/>
                <w:right w:val="none" w:sz="0" w:space="0" w:color="auto"/>
              </w:divBdr>
              <w:divsChild>
                <w:div w:id="97147247">
                  <w:marLeft w:val="0"/>
                  <w:marRight w:val="0"/>
                  <w:marTop w:val="0"/>
                  <w:marBottom w:val="0"/>
                  <w:divBdr>
                    <w:top w:val="none" w:sz="0" w:space="0" w:color="auto"/>
                    <w:left w:val="none" w:sz="0" w:space="0" w:color="auto"/>
                    <w:bottom w:val="none" w:sz="0" w:space="0" w:color="auto"/>
                    <w:right w:val="none" w:sz="0" w:space="0" w:color="auto"/>
                  </w:divBdr>
                  <w:divsChild>
                    <w:div w:id="482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99214">
      <w:bodyDiv w:val="1"/>
      <w:marLeft w:val="0"/>
      <w:marRight w:val="0"/>
      <w:marTop w:val="0"/>
      <w:marBottom w:val="0"/>
      <w:divBdr>
        <w:top w:val="none" w:sz="0" w:space="0" w:color="auto"/>
        <w:left w:val="none" w:sz="0" w:space="0" w:color="auto"/>
        <w:bottom w:val="none" w:sz="0" w:space="0" w:color="auto"/>
        <w:right w:val="none" w:sz="0" w:space="0" w:color="auto"/>
      </w:divBdr>
      <w:divsChild>
        <w:div w:id="1699425661">
          <w:marLeft w:val="0"/>
          <w:marRight w:val="0"/>
          <w:marTop w:val="0"/>
          <w:marBottom w:val="0"/>
          <w:divBdr>
            <w:top w:val="none" w:sz="0" w:space="0" w:color="auto"/>
            <w:left w:val="none" w:sz="0" w:space="0" w:color="auto"/>
            <w:bottom w:val="none" w:sz="0" w:space="0" w:color="auto"/>
            <w:right w:val="none" w:sz="0" w:space="0" w:color="auto"/>
          </w:divBdr>
          <w:divsChild>
            <w:div w:id="142816320">
              <w:marLeft w:val="0"/>
              <w:marRight w:val="0"/>
              <w:marTop w:val="0"/>
              <w:marBottom w:val="0"/>
              <w:divBdr>
                <w:top w:val="none" w:sz="0" w:space="0" w:color="auto"/>
                <w:left w:val="none" w:sz="0" w:space="0" w:color="auto"/>
                <w:bottom w:val="none" w:sz="0" w:space="0" w:color="auto"/>
                <w:right w:val="none" w:sz="0" w:space="0" w:color="auto"/>
              </w:divBdr>
            </w:div>
            <w:div w:id="531312052">
              <w:marLeft w:val="0"/>
              <w:marRight w:val="0"/>
              <w:marTop w:val="0"/>
              <w:marBottom w:val="0"/>
              <w:divBdr>
                <w:top w:val="none" w:sz="0" w:space="0" w:color="auto"/>
                <w:left w:val="none" w:sz="0" w:space="0" w:color="auto"/>
                <w:bottom w:val="none" w:sz="0" w:space="0" w:color="auto"/>
                <w:right w:val="none" w:sz="0" w:space="0" w:color="auto"/>
              </w:divBdr>
            </w:div>
          </w:divsChild>
        </w:div>
        <w:div w:id="1859006734">
          <w:marLeft w:val="0"/>
          <w:marRight w:val="0"/>
          <w:marTop w:val="0"/>
          <w:marBottom w:val="0"/>
          <w:divBdr>
            <w:top w:val="none" w:sz="0" w:space="0" w:color="auto"/>
            <w:left w:val="none" w:sz="0" w:space="0" w:color="auto"/>
            <w:bottom w:val="none" w:sz="0" w:space="0" w:color="auto"/>
            <w:right w:val="none" w:sz="0" w:space="0" w:color="auto"/>
          </w:divBdr>
          <w:divsChild>
            <w:div w:id="1013603310">
              <w:marLeft w:val="0"/>
              <w:marRight w:val="0"/>
              <w:marTop w:val="0"/>
              <w:marBottom w:val="0"/>
              <w:divBdr>
                <w:top w:val="none" w:sz="0" w:space="0" w:color="auto"/>
                <w:left w:val="none" w:sz="0" w:space="0" w:color="auto"/>
                <w:bottom w:val="none" w:sz="0" w:space="0" w:color="auto"/>
                <w:right w:val="none" w:sz="0" w:space="0" w:color="auto"/>
              </w:divBdr>
              <w:divsChild>
                <w:div w:id="1056902376">
                  <w:marLeft w:val="0"/>
                  <w:marRight w:val="0"/>
                  <w:marTop w:val="0"/>
                  <w:marBottom w:val="0"/>
                  <w:divBdr>
                    <w:top w:val="none" w:sz="0" w:space="0" w:color="auto"/>
                    <w:left w:val="none" w:sz="0" w:space="0" w:color="auto"/>
                    <w:bottom w:val="none" w:sz="0" w:space="0" w:color="auto"/>
                    <w:right w:val="none" w:sz="0" w:space="0" w:color="auto"/>
                  </w:divBdr>
                  <w:divsChild>
                    <w:div w:id="6737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6544">
      <w:bodyDiv w:val="1"/>
      <w:marLeft w:val="0"/>
      <w:marRight w:val="0"/>
      <w:marTop w:val="0"/>
      <w:marBottom w:val="0"/>
      <w:divBdr>
        <w:top w:val="none" w:sz="0" w:space="0" w:color="auto"/>
        <w:left w:val="none" w:sz="0" w:space="0" w:color="auto"/>
        <w:bottom w:val="none" w:sz="0" w:space="0" w:color="auto"/>
        <w:right w:val="none" w:sz="0" w:space="0" w:color="auto"/>
      </w:divBdr>
    </w:div>
    <w:div w:id="12804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5a2e4e-508e-4980-8d54-eaf816b33b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ABD879F88D33E34FB4D0FFBEA0135336" ma:contentTypeVersion="12" ma:contentTypeDescription="建立新的文件。" ma:contentTypeScope="" ma:versionID="1f6bdf069f5bd805861434b2e49ac62a">
  <xsd:schema xmlns:xsd="http://www.w3.org/2001/XMLSchema" xmlns:xs="http://www.w3.org/2001/XMLSchema" xmlns:p="http://schemas.microsoft.com/office/2006/metadata/properties" xmlns:ns3="f75a2e4e-508e-4980-8d54-eaf816b33b1a" targetNamespace="http://schemas.microsoft.com/office/2006/metadata/properties" ma:root="true" ma:fieldsID="6acc1aa2fdd891f24a8170ee3480bab1" ns3:_="">
    <xsd:import namespace="f75a2e4e-508e-4980-8d54-eaf816b33b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2e4e-508e-4980-8d54-eaf816b33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3CA3B-9C52-4F32-B338-8DA796F98674}">
  <ds:schemaRefs>
    <ds:schemaRef ds:uri="http://schemas.microsoft.com/sharepoint/v3/contenttype/forms"/>
  </ds:schemaRefs>
</ds:datastoreItem>
</file>

<file path=customXml/itemProps2.xml><?xml version="1.0" encoding="utf-8"?>
<ds:datastoreItem xmlns:ds="http://schemas.openxmlformats.org/officeDocument/2006/customXml" ds:itemID="{7C5D42DE-94B7-4512-8FA7-9CD16C8E71D3}">
  <ds:schemaRefs>
    <ds:schemaRef ds:uri="http://schemas.microsoft.com/office/2006/metadata/properties"/>
    <ds:schemaRef ds:uri="http://schemas.microsoft.com/office/infopath/2007/PartnerControls"/>
    <ds:schemaRef ds:uri="f75a2e4e-508e-4980-8d54-eaf816b33b1a"/>
  </ds:schemaRefs>
</ds:datastoreItem>
</file>

<file path=customXml/itemProps3.xml><?xml version="1.0" encoding="utf-8"?>
<ds:datastoreItem xmlns:ds="http://schemas.openxmlformats.org/officeDocument/2006/customXml" ds:itemID="{058DA615-6413-4EC0-BB61-311F214D1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2e4e-508e-4980-8d54-eaf816b33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11634-5504-458B-85B9-91E413EE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6703</Words>
  <Characters>16114</Characters>
  <Application>Microsoft Office Word</Application>
  <DocSecurity>0</DocSecurity>
  <Lines>134</Lines>
  <Paragraphs>45</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「國立中興大學國際事務處設置辦法」修訂條文對照表</dc:title>
  <dc:subject/>
  <dc:creator>User</dc:creator>
  <cp:keywords/>
  <cp:lastModifiedBy>(Sales_TW PM)Giovanna Hou</cp:lastModifiedBy>
  <cp:revision>22</cp:revision>
  <cp:lastPrinted>2023-03-22T05:26:00Z</cp:lastPrinted>
  <dcterms:created xsi:type="dcterms:W3CDTF">2025-09-15T06:39:00Z</dcterms:created>
  <dcterms:modified xsi:type="dcterms:W3CDTF">2025-10-23T09:56:00Z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0x010100ABD879F88D33E34FB4D0FFBEA0135336</vt:lpwstr>
  </property>
</Properties>
</file>