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74" w:rsidRPr="006F7667" w:rsidRDefault="00776A74" w:rsidP="00776A74">
      <w:pPr>
        <w:snapToGrid w:val="0"/>
        <w:spacing w:line="240" w:lineRule="atLeast"/>
        <w:ind w:leftChars="-1" w:left="169" w:hangingChars="61" w:hanging="17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F7667">
        <w:rPr>
          <w:rFonts w:ascii="標楷體" w:eastAsia="標楷體" w:hAnsi="標楷體" w:hint="eastAsia"/>
          <w:b/>
          <w:color w:val="000000"/>
          <w:sz w:val="28"/>
          <w:szCs w:val="28"/>
        </w:rPr>
        <w:t>國立中興大學契約進用職員升級評分標準表</w:t>
      </w:r>
    </w:p>
    <w:tbl>
      <w:tblPr>
        <w:tblW w:w="10210" w:type="dxa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20"/>
        <w:gridCol w:w="2518"/>
        <w:gridCol w:w="723"/>
        <w:gridCol w:w="4578"/>
      </w:tblGrid>
      <w:tr w:rsidR="00776A74" w:rsidRPr="006F7667" w:rsidTr="00A0597E">
        <w:trPr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720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最高配分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評比項目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配分標準</w:t>
            </w:r>
          </w:p>
        </w:tc>
        <w:tc>
          <w:tcPr>
            <w:tcW w:w="4578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</w:t>
            </w:r>
          </w:p>
        </w:tc>
        <w:tc>
          <w:tcPr>
            <w:tcW w:w="720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高中(職)畢業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8" w:type="dxa"/>
            <w:vMerge w:val="restart"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學歷之認定，以教育部或國防部(軍事學校)學制為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準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。專科以上學校之學歷，凡經教育部立案或認可者，不分國內外，計分相同。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專科學校畢業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大學(獨立學院)畢業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具碩士學位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具博士學位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年資</w:t>
            </w:r>
          </w:p>
        </w:tc>
        <w:tc>
          <w:tcPr>
            <w:tcW w:w="720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服務年資每滿一年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8" w:type="dxa"/>
          </w:tcPr>
          <w:p w:rsidR="00776A74" w:rsidRPr="006F7667" w:rsidRDefault="00776A74" w:rsidP="00A0597E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服務年資以在本校服務期間為限。</w:t>
            </w:r>
          </w:p>
          <w:p w:rsidR="00776A74" w:rsidRPr="006F7667" w:rsidRDefault="00776A74" w:rsidP="00A0597E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尾數未滿半年者，核給0.5分；半年以上未滿一年者，以一年計。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720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優等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8" w:type="dxa"/>
            <w:vMerge w:val="restart"/>
          </w:tcPr>
          <w:p w:rsidR="00776A74" w:rsidRPr="006F7667" w:rsidRDefault="00776A74" w:rsidP="00A0597E">
            <w:pPr>
              <w:numPr>
                <w:ilvl w:val="0"/>
                <w:numId w:val="2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考核以現職最近五年為限。</w:t>
            </w:r>
          </w:p>
          <w:p w:rsidR="00776A74" w:rsidRPr="006F7667" w:rsidRDefault="00776A74" w:rsidP="00A0597E">
            <w:pPr>
              <w:numPr>
                <w:ilvl w:val="0"/>
                <w:numId w:val="2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前一年度之考核在校長覆核後，據以核計給分。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壹等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獎懲</w:t>
            </w:r>
          </w:p>
        </w:tc>
        <w:tc>
          <w:tcPr>
            <w:tcW w:w="720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嘉獎(申誡)一次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578" w:type="dxa"/>
            <w:vMerge w:val="restart"/>
          </w:tcPr>
          <w:p w:rsidR="00776A74" w:rsidRPr="006F7667" w:rsidRDefault="00776A74" w:rsidP="00A0597E">
            <w:pPr>
              <w:numPr>
                <w:ilvl w:val="0"/>
                <w:numId w:val="3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平時獎懲以現職期間最近五年內(以辦理升級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甄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審當月上溯計算)已核定發布者為限。</w:t>
            </w:r>
          </w:p>
          <w:p w:rsidR="00776A74" w:rsidRPr="006F7667" w:rsidRDefault="00776A74" w:rsidP="00A0597E">
            <w:pPr>
              <w:numPr>
                <w:ilvl w:val="0"/>
                <w:numId w:val="3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按上列標準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獎加懲減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，其結果如產生負分時，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應倒扣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總分。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記功(記過)一次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記大功一次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獲頒個人績效獎金人員</w:t>
            </w:r>
          </w:p>
        </w:tc>
        <w:tc>
          <w:tcPr>
            <w:tcW w:w="720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優良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8" w:type="dxa"/>
            <w:vMerge w:val="restart"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以最近三年獲頒者為限；惟本項總分不得超過4分。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特優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卓越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英語能力</w:t>
            </w:r>
          </w:p>
        </w:tc>
        <w:tc>
          <w:tcPr>
            <w:tcW w:w="720" w:type="dxa"/>
            <w:vMerge w:val="restart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通過全民英檢初級測驗，領有合格證書者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8" w:type="dxa"/>
            <w:vMerge w:val="restart"/>
          </w:tcPr>
          <w:p w:rsidR="00776A74" w:rsidRPr="006F7667" w:rsidRDefault="00776A74" w:rsidP="00A0597E">
            <w:pPr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67" w:hanging="46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通過相當全民英檢各類英語能力測驗者，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依左例標準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計分。</w:t>
            </w:r>
          </w:p>
          <w:p w:rsidR="00776A74" w:rsidRPr="006F7667" w:rsidRDefault="00776A74" w:rsidP="00A0597E">
            <w:pPr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67" w:hanging="46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取得二項以上英語能力測驗成績證明或合格證書者，以等級最高之一項計分。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通過全民英檢中級測驗，領有合格證書者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通過全民英檢高級以上測驗，領有合格證書者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8" w:type="dxa"/>
            <w:vMerge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團隊和諧</w:t>
            </w:r>
          </w:p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協調溝通</w:t>
            </w:r>
          </w:p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發展潛能</w:t>
            </w:r>
          </w:p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主動積極</w:t>
            </w:r>
          </w:p>
        </w:tc>
        <w:tc>
          <w:tcPr>
            <w:tcW w:w="720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由受考人原服務單位主管負責綜合考評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78" w:type="dxa"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由受考人原服務單位主管依據受考人平時表現綜合考評，核予5至15分，惟超過14分者，應具體說明理由。</w:t>
            </w:r>
          </w:p>
        </w:tc>
      </w:tr>
      <w:tr w:rsidR="00776A74" w:rsidRPr="006F7667" w:rsidTr="00A0597E">
        <w:trPr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具體績效</w:t>
            </w:r>
          </w:p>
        </w:tc>
        <w:tc>
          <w:tcPr>
            <w:tcW w:w="720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由約用職員待遇審議小組負責考評</w:t>
            </w:r>
          </w:p>
        </w:tc>
        <w:tc>
          <w:tcPr>
            <w:tcW w:w="723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78" w:type="dxa"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由委員依據申請人所提供資料給予評分。</w:t>
            </w:r>
          </w:p>
        </w:tc>
      </w:tr>
      <w:tr w:rsidR="00776A74" w:rsidRPr="006F7667" w:rsidTr="00A0597E">
        <w:trPr>
          <w:cantSplit/>
          <w:trHeight w:val="1134"/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綜合考評(20%)</w:t>
            </w:r>
          </w:p>
        </w:tc>
        <w:tc>
          <w:tcPr>
            <w:tcW w:w="720" w:type="dxa"/>
            <w:vAlign w:val="center"/>
          </w:tcPr>
          <w:p w:rsidR="00776A74" w:rsidRPr="006F7667" w:rsidRDefault="00776A74" w:rsidP="00A0597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由校長就升級職務業務需要、受考人服務情形及品德等檢討作綜合考評</w:t>
            </w:r>
          </w:p>
        </w:tc>
        <w:tc>
          <w:tcPr>
            <w:tcW w:w="723" w:type="dxa"/>
            <w:textDirection w:val="tbRlV"/>
            <w:vAlign w:val="center"/>
          </w:tcPr>
          <w:p w:rsidR="00776A74" w:rsidRPr="006F7667" w:rsidRDefault="00776A74" w:rsidP="00A0597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  <w:eastAsianLayout w:id="-709633280" w:vert="1" w:vertCompress="1"/>
              </w:rPr>
              <w:t>10</w:t>
            </w: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  <w:eastAsianLayout w:id="-709633279" w:vert="1" w:vertCompress="1"/>
              </w:rPr>
              <w:t>20</w:t>
            </w:r>
          </w:p>
        </w:tc>
        <w:tc>
          <w:tcPr>
            <w:tcW w:w="4578" w:type="dxa"/>
          </w:tcPr>
          <w:p w:rsidR="00776A74" w:rsidRPr="006F7667" w:rsidRDefault="00776A74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校長作綜合考評後，應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併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同「共同選項」、「個別選項」提審議小組就各受考人之積分高低，排定名次，由人事室列冊陳請校長圈定升級。</w:t>
            </w:r>
          </w:p>
        </w:tc>
      </w:tr>
      <w:tr w:rsidR="00776A74" w:rsidRPr="006F7667" w:rsidTr="00A0597E">
        <w:trPr>
          <w:cantSplit/>
          <w:trHeight w:val="1469"/>
          <w:jc w:val="center"/>
        </w:trPr>
        <w:tc>
          <w:tcPr>
            <w:tcW w:w="1671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面試或業務測驗(20%)</w:t>
            </w:r>
          </w:p>
        </w:tc>
        <w:tc>
          <w:tcPr>
            <w:tcW w:w="720" w:type="dxa"/>
            <w:textDirection w:val="tbRlV"/>
            <w:vAlign w:val="center"/>
          </w:tcPr>
          <w:p w:rsidR="00776A74" w:rsidRPr="006F7667" w:rsidRDefault="00776A74" w:rsidP="00A0597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百分比計分</w:t>
            </w:r>
          </w:p>
        </w:tc>
        <w:tc>
          <w:tcPr>
            <w:tcW w:w="2518" w:type="dxa"/>
            <w:vAlign w:val="center"/>
          </w:tcPr>
          <w:p w:rsidR="00776A74" w:rsidRPr="006F7667" w:rsidRDefault="00776A74" w:rsidP="00A0597E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由約用職員審議小組決定之</w:t>
            </w:r>
          </w:p>
        </w:tc>
        <w:tc>
          <w:tcPr>
            <w:tcW w:w="723" w:type="dxa"/>
            <w:textDirection w:val="tbRlV"/>
            <w:vAlign w:val="center"/>
          </w:tcPr>
          <w:p w:rsidR="00776A74" w:rsidRPr="006F7667" w:rsidRDefault="00776A74" w:rsidP="00A0597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百分比計分</w:t>
            </w:r>
          </w:p>
        </w:tc>
        <w:tc>
          <w:tcPr>
            <w:tcW w:w="4578" w:type="dxa"/>
          </w:tcPr>
          <w:p w:rsidR="00776A74" w:rsidRPr="006F7667" w:rsidRDefault="00776A74" w:rsidP="00A0597E">
            <w:pPr>
              <w:numPr>
                <w:ilvl w:val="0"/>
                <w:numId w:val="5"/>
              </w:numPr>
              <w:autoSpaceDE/>
              <w:autoSpaceDN/>
              <w:adjustRightInd/>
              <w:snapToGrid w:val="0"/>
              <w:ind w:left="481" w:hanging="48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如有舉行面試或業務測驗，</w:t>
            </w:r>
            <w:proofErr w:type="gramStart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本項占總</w:t>
            </w:r>
            <w:proofErr w:type="gramEnd"/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成績百分之二十，其餘項目綜合考評合計分數占百分之八十【即乘以80%】。</w:t>
            </w:r>
          </w:p>
          <w:p w:rsidR="00776A74" w:rsidRPr="006F7667" w:rsidRDefault="00776A74" w:rsidP="00A0597E">
            <w:pPr>
              <w:numPr>
                <w:ilvl w:val="0"/>
                <w:numId w:val="5"/>
              </w:numPr>
              <w:autoSpaceDE/>
              <w:autoSpaceDN/>
              <w:adjustRightInd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如無面試或業務測驗，本項即不予計分。</w:t>
            </w:r>
          </w:p>
          <w:p w:rsidR="00776A74" w:rsidRPr="006F7667" w:rsidRDefault="00776A74" w:rsidP="00A0597E">
            <w:pPr>
              <w:numPr>
                <w:ilvl w:val="0"/>
                <w:numId w:val="5"/>
              </w:numPr>
              <w:autoSpaceDE/>
              <w:autoSpaceDN/>
              <w:adjustRightInd/>
              <w:snapToGrid w:val="0"/>
              <w:ind w:left="495" w:hanging="49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業務測驗參考書目由待遇審議小組會議選定。</w:t>
            </w:r>
          </w:p>
          <w:p w:rsidR="00776A74" w:rsidRPr="006F7667" w:rsidRDefault="00776A74" w:rsidP="00A0597E">
            <w:pPr>
              <w:numPr>
                <w:ilvl w:val="0"/>
                <w:numId w:val="5"/>
              </w:numPr>
              <w:autoSpaceDE/>
              <w:autoSpaceDN/>
              <w:adjustRightInd/>
              <w:snapToGrid w:val="0"/>
              <w:ind w:left="495" w:hanging="49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6F766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業務測驗分數若未達一定標準，不得申請升級。前述分數標準由待遇審議小組會議審定。</w:t>
            </w:r>
          </w:p>
        </w:tc>
      </w:tr>
    </w:tbl>
    <w:p w:rsidR="00776A74" w:rsidRDefault="00776A74" w:rsidP="00776A74"/>
    <w:p w:rsidR="00776A74" w:rsidRDefault="00776A74" w:rsidP="00776A74"/>
    <w:p w:rsidR="004818C9" w:rsidRDefault="004818C9">
      <w:pPr>
        <w:rPr>
          <w:rFonts w:hint="eastAsia"/>
        </w:rPr>
      </w:pPr>
    </w:p>
    <w:p w:rsidR="00ED148F" w:rsidRDefault="00ED148F">
      <w:pPr>
        <w:rPr>
          <w:rFonts w:hint="eastAsia"/>
        </w:rPr>
      </w:pPr>
    </w:p>
    <w:p w:rsidR="00ED148F" w:rsidRPr="00230D1D" w:rsidRDefault="00ED148F" w:rsidP="00ED148F">
      <w:pPr>
        <w:jc w:val="center"/>
        <w:rPr>
          <w:rFonts w:eastAsia="標楷體"/>
          <w:b/>
          <w:sz w:val="32"/>
          <w:szCs w:val="32"/>
        </w:rPr>
      </w:pPr>
      <w:r w:rsidRPr="00230D1D">
        <w:rPr>
          <w:rFonts w:eastAsia="標楷體" w:hAnsi="標楷體"/>
          <w:b/>
          <w:sz w:val="32"/>
          <w:szCs w:val="32"/>
        </w:rPr>
        <w:lastRenderedPageBreak/>
        <w:t>國立中興大學</w:t>
      </w:r>
      <w:r>
        <w:rPr>
          <w:rFonts w:eastAsia="標楷體" w:hAnsi="標楷體" w:hint="eastAsia"/>
          <w:b/>
          <w:sz w:val="32"/>
          <w:szCs w:val="32"/>
        </w:rPr>
        <w:t xml:space="preserve">   </w:t>
      </w:r>
      <w:r>
        <w:rPr>
          <w:rFonts w:eastAsia="標楷體" w:hAnsi="標楷體" w:hint="eastAsia"/>
          <w:b/>
          <w:sz w:val="32"/>
          <w:szCs w:val="32"/>
        </w:rPr>
        <w:t>年度</w:t>
      </w:r>
      <w:r w:rsidRPr="00230D1D">
        <w:rPr>
          <w:rFonts w:eastAsia="標楷體" w:hAnsi="標楷體"/>
          <w:b/>
          <w:sz w:val="32"/>
          <w:szCs w:val="32"/>
        </w:rPr>
        <w:t>契約進用職員升級人員具體績效表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094"/>
        <w:gridCol w:w="1984"/>
        <w:gridCol w:w="1332"/>
        <w:gridCol w:w="369"/>
        <w:gridCol w:w="3402"/>
      </w:tblGrid>
      <w:tr w:rsidR="00ED148F" w:rsidRPr="004947AB" w:rsidTr="00A0597E">
        <w:trPr>
          <w:trHeight w:val="567"/>
        </w:trPr>
        <w:tc>
          <w:tcPr>
            <w:tcW w:w="3299" w:type="dxa"/>
            <w:gridSpan w:val="2"/>
            <w:shd w:val="clear" w:color="auto" w:fill="auto"/>
            <w:vAlign w:val="center"/>
          </w:tcPr>
          <w:p w:rsidR="00ED148F" w:rsidRPr="008F5F76" w:rsidRDefault="00ED148F" w:rsidP="00A059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D148F" w:rsidRPr="008F5F76" w:rsidRDefault="00ED148F" w:rsidP="00A059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148F" w:rsidRPr="008F5F76" w:rsidRDefault="00ED148F" w:rsidP="00A059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</w:p>
        </w:tc>
      </w:tr>
      <w:tr w:rsidR="00ED148F" w:rsidRPr="004947AB" w:rsidTr="00A0597E">
        <w:trPr>
          <w:trHeight w:val="567"/>
        </w:trPr>
        <w:tc>
          <w:tcPr>
            <w:tcW w:w="3299" w:type="dxa"/>
            <w:gridSpan w:val="2"/>
            <w:shd w:val="clear" w:color="auto" w:fill="auto"/>
          </w:tcPr>
          <w:p w:rsidR="00ED148F" w:rsidRPr="004947AB" w:rsidRDefault="00ED148F" w:rsidP="00A0597E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D148F" w:rsidRPr="004947AB" w:rsidTr="00A0597E">
        <w:trPr>
          <w:trHeight w:val="567"/>
        </w:trPr>
        <w:tc>
          <w:tcPr>
            <w:tcW w:w="10386" w:type="dxa"/>
            <w:gridSpan w:val="6"/>
            <w:shd w:val="clear" w:color="auto" w:fill="auto"/>
            <w:vAlign w:val="center"/>
          </w:tcPr>
          <w:p w:rsidR="00ED148F" w:rsidRPr="008F5F76" w:rsidRDefault="00ED148F" w:rsidP="00A059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具體績效</w:t>
            </w:r>
          </w:p>
        </w:tc>
      </w:tr>
      <w:tr w:rsidR="00ED148F" w:rsidRPr="004947AB" w:rsidTr="00A0597E">
        <w:trPr>
          <w:trHeight w:val="6870"/>
        </w:trPr>
        <w:tc>
          <w:tcPr>
            <w:tcW w:w="10386" w:type="dxa"/>
            <w:gridSpan w:val="6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148F" w:rsidRPr="004947AB" w:rsidTr="00A0597E">
        <w:trPr>
          <w:trHeight w:val="738"/>
        </w:trPr>
        <w:tc>
          <w:tcPr>
            <w:tcW w:w="2205" w:type="dxa"/>
            <w:shd w:val="clear" w:color="auto" w:fill="auto"/>
            <w:vAlign w:val="center"/>
          </w:tcPr>
          <w:p w:rsidR="00ED148F" w:rsidRPr="0004228B" w:rsidRDefault="00ED148F" w:rsidP="00A0597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  <w:r w:rsidRPr="000422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8181" w:type="dxa"/>
            <w:gridSpan w:val="5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148F" w:rsidRPr="004947AB" w:rsidTr="00A0597E">
        <w:trPr>
          <w:trHeight w:val="738"/>
        </w:trPr>
        <w:tc>
          <w:tcPr>
            <w:tcW w:w="10386" w:type="dxa"/>
            <w:gridSpan w:val="6"/>
            <w:shd w:val="clear" w:color="auto" w:fill="auto"/>
          </w:tcPr>
          <w:p w:rsidR="00ED148F" w:rsidRPr="008F5F76" w:rsidRDefault="00ED148F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F5F76">
              <w:rPr>
                <w:rFonts w:ascii="標楷體" w:eastAsia="標楷體" w:hAnsi="標楷體" w:hint="eastAsia"/>
                <w:color w:val="000000"/>
              </w:rPr>
              <w:t>依「約用職員各職稱之名額百分比及工作職責表」所訂之工作職責</w:t>
            </w:r>
          </w:p>
          <w:p w:rsidR="00ED148F" w:rsidRPr="008F5F76" w:rsidRDefault="00ED148F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F5F76">
              <w:rPr>
                <w:rFonts w:ascii="標楷體" w:eastAsia="標楷體" w:hAnsi="標楷體" w:hint="eastAsia"/>
                <w:color w:val="000000"/>
              </w:rPr>
              <w:t xml:space="preserve">符合 □第二序列工作職責  □第三序列工作職責 </w:t>
            </w:r>
          </w:p>
          <w:p w:rsidR="00ED148F" w:rsidRPr="008F5F76" w:rsidRDefault="00ED148F" w:rsidP="00A0597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F5F76">
              <w:rPr>
                <w:rFonts w:ascii="標楷體" w:eastAsia="標楷體" w:hAnsi="標楷體" w:hint="eastAsia"/>
                <w:color w:val="000000"/>
              </w:rPr>
              <w:t xml:space="preserve">     □第四序列工作職責  □第五序列工作職責</w:t>
            </w:r>
          </w:p>
        </w:tc>
      </w:tr>
      <w:tr w:rsidR="00ED148F" w:rsidRPr="004947AB" w:rsidTr="00A0597E">
        <w:trPr>
          <w:trHeight w:val="738"/>
        </w:trPr>
        <w:tc>
          <w:tcPr>
            <w:tcW w:w="2205" w:type="dxa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47AB">
              <w:rPr>
                <w:rFonts w:eastAsia="標楷體" w:hAnsi="標楷體"/>
                <w:b/>
                <w:sz w:val="28"/>
                <w:szCs w:val="28"/>
              </w:rPr>
              <w:t>二級單位主管</w:t>
            </w:r>
          </w:p>
        </w:tc>
        <w:tc>
          <w:tcPr>
            <w:tcW w:w="3078" w:type="dxa"/>
            <w:gridSpan w:val="2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ED148F" w:rsidRPr="004947AB" w:rsidRDefault="00ED148F" w:rsidP="00A0597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947AB">
              <w:rPr>
                <w:rFonts w:eastAsia="標楷體" w:hAnsi="標楷體"/>
                <w:b/>
                <w:sz w:val="28"/>
                <w:szCs w:val="28"/>
              </w:rPr>
              <w:t>一級單位主管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148F" w:rsidRPr="004947AB" w:rsidTr="00A0597E">
        <w:trPr>
          <w:trHeight w:val="738"/>
        </w:trPr>
        <w:tc>
          <w:tcPr>
            <w:tcW w:w="5283" w:type="dxa"/>
            <w:gridSpan w:val="3"/>
            <w:shd w:val="clear" w:color="auto" w:fill="auto"/>
          </w:tcPr>
          <w:p w:rsidR="00ED148F" w:rsidRPr="004947AB" w:rsidRDefault="00ED148F" w:rsidP="00A0597E">
            <w:pPr>
              <w:rPr>
                <w:rFonts w:eastAsia="標楷體"/>
                <w:b/>
                <w:sz w:val="28"/>
                <w:szCs w:val="28"/>
              </w:rPr>
            </w:pPr>
            <w:r w:rsidRPr="004947AB">
              <w:rPr>
                <w:rFonts w:eastAsia="標楷體" w:hAnsi="標楷體"/>
                <w:b/>
                <w:sz w:val="28"/>
                <w:szCs w:val="28"/>
              </w:rPr>
              <w:t>約用職員待遇審議小組考評</w:t>
            </w:r>
            <w:r w:rsidRPr="004947AB">
              <w:rPr>
                <w:rFonts w:eastAsia="標楷體"/>
                <w:b/>
                <w:sz w:val="26"/>
                <w:szCs w:val="26"/>
              </w:rPr>
              <w:t>(18</w:t>
            </w:r>
            <w:r w:rsidRPr="004947AB">
              <w:rPr>
                <w:rFonts w:eastAsia="標楷體" w:hAnsi="標楷體"/>
                <w:b/>
                <w:sz w:val="26"/>
                <w:szCs w:val="26"/>
              </w:rPr>
              <w:t>分</w:t>
            </w:r>
            <w:r w:rsidRPr="004947AB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ED148F" w:rsidRPr="004947AB" w:rsidRDefault="00ED148F" w:rsidP="00A0597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D148F" w:rsidRPr="00F73522" w:rsidRDefault="00ED148F" w:rsidP="00ED148F">
      <w:pPr>
        <w:tabs>
          <w:tab w:val="left" w:pos="284"/>
        </w:tabs>
        <w:snapToGrid w:val="0"/>
        <w:ind w:leftChars="-300" w:left="-72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F73522">
        <w:rPr>
          <w:rFonts w:ascii="標楷體" w:eastAsia="標楷體" w:hAnsi="標楷體" w:hint="eastAsia"/>
          <w:color w:val="000000"/>
        </w:rPr>
        <w:t xml:space="preserve">  </w:t>
      </w:r>
      <w:r w:rsidRPr="00F73522">
        <w:rPr>
          <w:rFonts w:ascii="標楷體" w:eastAsia="標楷體" w:hAnsi="標楷體" w:hint="eastAsia"/>
          <w:color w:val="000000"/>
          <w:sz w:val="20"/>
          <w:szCs w:val="20"/>
        </w:rPr>
        <w:t>附註： 一、本表依契約進用職員管理要點第三、十六點規定辦理。</w:t>
      </w:r>
    </w:p>
    <w:p w:rsidR="00ED148F" w:rsidRPr="00F73522" w:rsidRDefault="00ED148F" w:rsidP="00ED148F">
      <w:pPr>
        <w:snapToGrid w:val="0"/>
        <w:ind w:leftChars="-300" w:left="-720"/>
        <w:rPr>
          <w:rFonts w:ascii="標楷體" w:eastAsia="標楷體" w:hAnsi="標楷體"/>
          <w:color w:val="000000"/>
          <w:sz w:val="20"/>
          <w:szCs w:val="20"/>
        </w:rPr>
      </w:pPr>
      <w:r w:rsidRPr="00F73522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二、本校「約用職員各職稱之名額百分比及工作職責表」各序列工作職責如下：</w:t>
      </w:r>
    </w:p>
    <w:p w:rsidR="00ED148F" w:rsidRPr="00F73522" w:rsidRDefault="00ED148F" w:rsidP="00ED148F">
      <w:pPr>
        <w:snapToGrid w:val="0"/>
        <w:ind w:leftChars="-300" w:left="-720"/>
        <w:rPr>
          <w:rFonts w:ascii="標楷體" w:eastAsia="標楷體" w:hAnsi="標楷體"/>
          <w:color w:val="000000"/>
          <w:sz w:val="20"/>
          <w:szCs w:val="20"/>
        </w:rPr>
      </w:pPr>
      <w:r w:rsidRPr="00F73522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第一序列：</w:t>
      </w:r>
      <w:r w:rsidRPr="00F73522">
        <w:rPr>
          <w:rFonts w:ascii="標楷體" w:eastAsia="標楷體" w:hAnsi="標楷體" w:hint="eastAsia"/>
          <w:sz w:val="20"/>
          <w:szCs w:val="20"/>
        </w:rPr>
        <w:t>在直接監督下，辦理一般性事務工作。</w:t>
      </w:r>
    </w:p>
    <w:p w:rsidR="00ED148F" w:rsidRPr="00F73522" w:rsidRDefault="00ED148F" w:rsidP="00ED148F">
      <w:pPr>
        <w:pStyle w:val="Default"/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F73522">
        <w:rPr>
          <w:rFonts w:ascii="標楷體" w:eastAsia="標楷體" w:hAnsi="標楷體" w:hint="eastAsia"/>
          <w:sz w:val="20"/>
          <w:szCs w:val="20"/>
        </w:rPr>
        <w:t xml:space="preserve">         第二序列：在法律規定及一般監督下，運用基本學識辦理例行性工作。</w:t>
      </w:r>
    </w:p>
    <w:p w:rsidR="00ED148F" w:rsidRPr="00F73522" w:rsidRDefault="00ED148F" w:rsidP="00ED148F">
      <w:pPr>
        <w:pStyle w:val="Default"/>
        <w:snapToGrid w:val="0"/>
        <w:jc w:val="both"/>
        <w:rPr>
          <w:rFonts w:ascii="標楷體" w:eastAsia="標楷體" w:hAnsi="標楷體" w:hint="eastAsia"/>
          <w:sz w:val="20"/>
          <w:szCs w:val="20"/>
        </w:rPr>
      </w:pPr>
      <w:r w:rsidRPr="00F73522">
        <w:rPr>
          <w:rFonts w:ascii="標楷體" w:eastAsia="標楷體" w:hAnsi="標楷體" w:hint="eastAsia"/>
          <w:sz w:val="20"/>
          <w:szCs w:val="20"/>
        </w:rPr>
        <w:t xml:space="preserve">         第三序列：在法律規定及一般監督下，運用初步專業學識獨立判斷，辦理職責稍複雜之固定例行業務或辦理技</w:t>
      </w:r>
    </w:p>
    <w:p w:rsidR="00ED148F" w:rsidRPr="00F73522" w:rsidRDefault="00ED148F" w:rsidP="00ED148F">
      <w:pPr>
        <w:pStyle w:val="Default"/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F73522">
        <w:rPr>
          <w:rFonts w:ascii="標楷體" w:eastAsia="標楷體" w:hAnsi="標楷體" w:hint="eastAsia"/>
          <w:sz w:val="20"/>
          <w:szCs w:val="20"/>
        </w:rPr>
        <w:t xml:space="preserve">                   術或專業較為複雜之工作。</w:t>
      </w:r>
    </w:p>
    <w:p w:rsidR="00ED148F" w:rsidRPr="00F73522" w:rsidRDefault="00ED148F" w:rsidP="00ED148F">
      <w:pPr>
        <w:snapToGrid w:val="0"/>
        <w:ind w:leftChars="-300" w:left="-720"/>
        <w:rPr>
          <w:rFonts w:ascii="標楷體" w:eastAsia="標楷體" w:hAnsi="標楷體" w:cs="微軟正黑體" w:hint="eastAsia"/>
          <w:sz w:val="20"/>
          <w:szCs w:val="20"/>
        </w:rPr>
      </w:pPr>
      <w:r w:rsidRPr="00F73522">
        <w:rPr>
          <w:rFonts w:ascii="標楷體" w:eastAsia="標楷體" w:hAnsi="標楷體" w:hint="eastAsia"/>
          <w:sz w:val="20"/>
          <w:szCs w:val="20"/>
        </w:rPr>
        <w:t xml:space="preserve">                第四序列：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在法律規定及一般監督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下</w:t>
      </w:r>
      <w:r w:rsidRPr="00F73522">
        <w:rPr>
          <w:rFonts w:ascii="標楷體" w:eastAsia="標楷體" w:hAnsi="標楷體" w:cs="Gulim" w:hint="eastAsia"/>
          <w:spacing w:val="-27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運用較為專精之學識獨立判斷獨立執行職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 xml:space="preserve"> </w:t>
      </w:r>
      <w:proofErr w:type="gramStart"/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務</w:t>
      </w:r>
      <w:proofErr w:type="gramEnd"/>
      <w:r w:rsidRPr="00F73522">
        <w:rPr>
          <w:rFonts w:ascii="標楷體" w:eastAsia="標楷體" w:hAnsi="標楷體" w:cs="Gulim" w:hint="eastAsia"/>
          <w:spacing w:val="-26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辦理技術或各專業方面較</w:t>
      </w:r>
      <w:proofErr w:type="gramStart"/>
      <w:r w:rsidRPr="00F73522">
        <w:rPr>
          <w:rFonts w:ascii="標楷體" w:eastAsia="標楷體" w:hAnsi="標楷體" w:cs="微軟正黑體" w:hint="eastAsia"/>
          <w:sz w:val="20"/>
          <w:szCs w:val="20"/>
        </w:rPr>
        <w:t>複</w:t>
      </w:r>
      <w:proofErr w:type="gramEnd"/>
    </w:p>
    <w:p w:rsidR="00ED148F" w:rsidRPr="00F73522" w:rsidRDefault="00ED148F" w:rsidP="00ED148F">
      <w:pPr>
        <w:snapToGrid w:val="0"/>
        <w:ind w:leftChars="-300" w:left="-720"/>
        <w:rPr>
          <w:rFonts w:ascii="標楷體" w:eastAsia="標楷體" w:hAnsi="標楷體" w:cs="Gulim"/>
          <w:sz w:val="20"/>
          <w:szCs w:val="20"/>
        </w:rPr>
      </w:pPr>
      <w:r w:rsidRPr="00F73522">
        <w:rPr>
          <w:rFonts w:ascii="標楷體" w:eastAsia="標楷體" w:hAnsi="標楷體" w:hint="eastAsia"/>
          <w:sz w:val="20"/>
          <w:szCs w:val="20"/>
        </w:rPr>
        <w:t xml:space="preserve">                          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雜事項之計畫、設</w:t>
      </w:r>
      <w:r w:rsidRPr="00F73522">
        <w:rPr>
          <w:rFonts w:ascii="標楷體" w:eastAsia="標楷體" w:hAnsi="標楷體" w:cs="微軟正黑體" w:hint="eastAsia"/>
          <w:spacing w:val="-10"/>
          <w:sz w:val="20"/>
          <w:szCs w:val="20"/>
        </w:rPr>
        <w:t>計、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擬議或審理業</w:t>
      </w:r>
      <w:r w:rsidRPr="00F73522">
        <w:rPr>
          <w:rFonts w:ascii="標楷體" w:eastAsia="標楷體" w:hAnsi="標楷體" w:cs="Gulim" w:hint="eastAsia"/>
          <w:spacing w:val="-10"/>
          <w:sz w:val="20"/>
          <w:szCs w:val="20"/>
        </w:rPr>
        <w:t>。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並需建</w:t>
      </w:r>
      <w:r w:rsidRPr="00F73522">
        <w:rPr>
          <w:rFonts w:ascii="標楷體" w:eastAsia="標楷體" w:hAnsi="標楷體" w:cs="微軟正黑體" w:hint="eastAsia"/>
          <w:spacing w:val="-9"/>
          <w:sz w:val="20"/>
          <w:szCs w:val="20"/>
        </w:rPr>
        <w:t>議</w:t>
      </w:r>
      <w:r w:rsidRPr="00F73522">
        <w:rPr>
          <w:rFonts w:ascii="標楷體" w:eastAsia="標楷體" w:hAnsi="標楷體" w:cs="微軟正黑體" w:hint="eastAsia"/>
          <w:spacing w:val="-10"/>
          <w:sz w:val="20"/>
          <w:szCs w:val="20"/>
        </w:rPr>
        <w:t>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創新工作方法或程序</w:t>
      </w:r>
      <w:r w:rsidRPr="00F73522">
        <w:rPr>
          <w:rFonts w:ascii="標楷體" w:eastAsia="標楷體" w:hAnsi="標楷體" w:cs="Gulim" w:hint="eastAsia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分析判斷能力</w:t>
      </w:r>
      <w:r w:rsidRPr="00F73522">
        <w:rPr>
          <w:rFonts w:ascii="標楷體" w:eastAsia="標楷體" w:hAnsi="標楷體" w:cs="Gulim" w:hint="eastAsia"/>
          <w:sz w:val="20"/>
          <w:szCs w:val="20"/>
        </w:rPr>
        <w:t>。</w:t>
      </w:r>
    </w:p>
    <w:p w:rsidR="00ED148F" w:rsidRPr="00F73522" w:rsidRDefault="00ED148F" w:rsidP="00ED148F">
      <w:pPr>
        <w:pStyle w:val="TableParagraph"/>
        <w:kinsoku w:val="0"/>
        <w:overflowPunct w:val="0"/>
        <w:snapToGrid w:val="0"/>
        <w:jc w:val="both"/>
        <w:rPr>
          <w:rFonts w:ascii="標楷體" w:eastAsia="標楷體" w:hAnsi="標楷體" w:cs="微軟正黑體" w:hint="eastAsia"/>
          <w:spacing w:val="-3"/>
          <w:sz w:val="20"/>
          <w:szCs w:val="20"/>
        </w:rPr>
      </w:pPr>
      <w:r w:rsidRPr="00F73522">
        <w:rPr>
          <w:rFonts w:ascii="標楷體" w:eastAsia="標楷體" w:hAnsi="標楷體" w:cs="Gulim" w:hint="eastAsia"/>
          <w:sz w:val="20"/>
          <w:szCs w:val="20"/>
        </w:rPr>
        <w:t xml:space="preserve">         第五序列：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在法律規定及重點監督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下</w:t>
      </w:r>
      <w:r w:rsidRPr="00F73522">
        <w:rPr>
          <w:rFonts w:ascii="標楷體" w:eastAsia="標楷體" w:hAnsi="標楷體" w:cs="Gulim" w:hint="eastAsia"/>
          <w:spacing w:val="-27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運用極為專精之學識獨立判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斷</w:t>
      </w:r>
      <w:r w:rsidRPr="00F73522">
        <w:rPr>
          <w:rFonts w:ascii="標楷體" w:eastAsia="標楷體" w:hAnsi="標楷體" w:cs="Gulim" w:hint="eastAsia"/>
          <w:spacing w:val="-27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pacing w:val="-3"/>
          <w:sz w:val="20"/>
          <w:szCs w:val="20"/>
        </w:rPr>
        <w:t>襄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助主管處理職責繁重之機關業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務</w:t>
      </w:r>
      <w:r w:rsidRPr="00F73522">
        <w:rPr>
          <w:rFonts w:ascii="標楷體" w:eastAsia="標楷體" w:hAnsi="標楷體" w:cs="Gulim" w:hint="eastAsia"/>
          <w:spacing w:val="-27"/>
          <w:sz w:val="20"/>
          <w:szCs w:val="20"/>
        </w:rPr>
        <w:t xml:space="preserve">，  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及</w:t>
      </w:r>
      <w:r w:rsidRPr="00F73522">
        <w:rPr>
          <w:rFonts w:ascii="標楷體" w:eastAsia="標楷體" w:hAnsi="標楷體" w:cs="微軟正黑體" w:hint="eastAsia"/>
          <w:spacing w:val="-3"/>
          <w:sz w:val="20"/>
          <w:szCs w:val="20"/>
        </w:rPr>
        <w:t>辦</w:t>
      </w:r>
    </w:p>
    <w:p w:rsidR="00ED148F" w:rsidRPr="00F73522" w:rsidRDefault="00ED148F" w:rsidP="00ED148F">
      <w:pPr>
        <w:pStyle w:val="TableParagraph"/>
        <w:kinsoku w:val="0"/>
        <w:overflowPunct w:val="0"/>
        <w:snapToGrid w:val="0"/>
        <w:jc w:val="both"/>
        <w:rPr>
          <w:rFonts w:ascii="標楷體" w:eastAsia="標楷體" w:hAnsi="標楷體" w:cs="微軟正黑體" w:hint="eastAsia"/>
          <w:sz w:val="20"/>
          <w:szCs w:val="20"/>
        </w:rPr>
      </w:pPr>
      <w:r w:rsidRPr="00F73522">
        <w:rPr>
          <w:rFonts w:ascii="標楷體" w:eastAsia="標楷體" w:hAnsi="標楷體" w:cs="微軟正黑體" w:hint="eastAsia"/>
          <w:spacing w:val="-3"/>
          <w:sz w:val="20"/>
          <w:szCs w:val="20"/>
        </w:rPr>
        <w:t xml:space="preserve">                    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理技術或各專業方面甚為繁重事項之計</w:t>
      </w:r>
      <w:r w:rsidRPr="00F73522">
        <w:rPr>
          <w:rFonts w:ascii="標楷體" w:eastAsia="標楷體" w:hAnsi="標楷體" w:cs="微軟正黑體" w:hint="eastAsia"/>
          <w:spacing w:val="-15"/>
          <w:sz w:val="20"/>
          <w:szCs w:val="20"/>
        </w:rPr>
        <w:t>畫、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設</w:t>
      </w:r>
      <w:r w:rsidRPr="00F73522">
        <w:rPr>
          <w:rFonts w:ascii="標楷體" w:eastAsia="標楷體" w:hAnsi="標楷體" w:cs="微軟正黑體" w:hint="eastAsia"/>
          <w:spacing w:val="-15"/>
          <w:sz w:val="20"/>
          <w:szCs w:val="20"/>
        </w:rPr>
        <w:t>計、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擬議或審理業</w:t>
      </w:r>
      <w:r w:rsidRPr="00F73522">
        <w:rPr>
          <w:rFonts w:ascii="標楷體" w:eastAsia="標楷體" w:hAnsi="標楷體" w:cs="微軟正黑體" w:hint="eastAsia"/>
          <w:spacing w:val="-10"/>
          <w:sz w:val="20"/>
          <w:szCs w:val="20"/>
        </w:rPr>
        <w:t>務</w:t>
      </w:r>
      <w:r w:rsidRPr="00F73522">
        <w:rPr>
          <w:rFonts w:ascii="標楷體" w:eastAsia="標楷體" w:hAnsi="標楷體" w:cs="Gulim" w:hint="eastAsia"/>
          <w:spacing w:val="-10"/>
          <w:sz w:val="20"/>
          <w:szCs w:val="20"/>
        </w:rPr>
        <w:t>。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並需建</w:t>
      </w:r>
      <w:r w:rsidRPr="00F73522">
        <w:rPr>
          <w:rFonts w:ascii="標楷體" w:eastAsia="標楷體" w:hAnsi="標楷體" w:cs="微軟正黑體" w:hint="eastAsia"/>
          <w:spacing w:val="-10"/>
          <w:sz w:val="20"/>
          <w:szCs w:val="20"/>
        </w:rPr>
        <w:t>議、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創</w:t>
      </w:r>
      <w:r w:rsidRPr="00F73522">
        <w:rPr>
          <w:rFonts w:ascii="標楷體" w:eastAsia="標楷體" w:hAnsi="標楷體" w:cs="微軟正黑體" w:hint="eastAsia"/>
          <w:spacing w:val="-10"/>
          <w:sz w:val="20"/>
          <w:szCs w:val="20"/>
        </w:rPr>
        <w:t>新、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決定本單位業</w:t>
      </w:r>
    </w:p>
    <w:p w:rsidR="00ED148F" w:rsidRPr="00F73522" w:rsidRDefault="00ED148F" w:rsidP="00ED148F">
      <w:pPr>
        <w:pStyle w:val="TableParagraph"/>
        <w:kinsoku w:val="0"/>
        <w:overflowPunct w:val="0"/>
        <w:snapToGrid w:val="0"/>
        <w:jc w:val="both"/>
        <w:rPr>
          <w:rFonts w:ascii="標楷體" w:eastAsia="標楷體" w:hAnsi="標楷體" w:cs="Gulim"/>
          <w:sz w:val="20"/>
          <w:szCs w:val="20"/>
        </w:rPr>
      </w:pPr>
      <w:r w:rsidRPr="00F73522">
        <w:rPr>
          <w:rFonts w:ascii="標楷體" w:eastAsia="標楷體" w:hAnsi="標楷體" w:cs="微軟正黑體" w:hint="eastAsia"/>
          <w:sz w:val="20"/>
          <w:szCs w:val="20"/>
        </w:rPr>
        <w:t xml:space="preserve">                   </w:t>
      </w:r>
      <w:proofErr w:type="gramStart"/>
      <w:r w:rsidRPr="00F73522">
        <w:rPr>
          <w:rFonts w:ascii="標楷體" w:eastAsia="標楷體" w:hAnsi="標楷體" w:cs="微軟正黑體" w:hint="eastAsia"/>
          <w:sz w:val="20"/>
          <w:szCs w:val="20"/>
        </w:rPr>
        <w:t>務</w:t>
      </w:r>
      <w:proofErr w:type="gramEnd"/>
      <w:r w:rsidRPr="00F73522">
        <w:rPr>
          <w:rFonts w:ascii="標楷體" w:eastAsia="標楷體" w:hAnsi="標楷體" w:cs="微軟正黑體" w:hint="eastAsia"/>
          <w:sz w:val="20"/>
          <w:szCs w:val="20"/>
        </w:rPr>
        <w:t>方針原</w:t>
      </w:r>
      <w:r w:rsidRPr="00F73522">
        <w:rPr>
          <w:rFonts w:ascii="標楷體" w:eastAsia="標楷體" w:hAnsi="標楷體" w:cs="微軟正黑體" w:hint="eastAsia"/>
          <w:spacing w:val="-26"/>
          <w:sz w:val="20"/>
          <w:szCs w:val="20"/>
        </w:rPr>
        <w:t>則</w:t>
      </w:r>
      <w:r w:rsidRPr="00F73522">
        <w:rPr>
          <w:rFonts w:ascii="標楷體" w:eastAsia="標楷體" w:hAnsi="標楷體" w:cs="Gulim" w:hint="eastAsia"/>
          <w:spacing w:val="-27"/>
          <w:sz w:val="20"/>
          <w:szCs w:val="20"/>
        </w:rPr>
        <w:t>，</w:t>
      </w:r>
      <w:r w:rsidRPr="00F73522">
        <w:rPr>
          <w:rFonts w:ascii="標楷體" w:eastAsia="標楷體" w:hAnsi="標楷體" w:cs="微軟正黑體" w:hint="eastAsia"/>
          <w:spacing w:val="-3"/>
          <w:sz w:val="20"/>
          <w:szCs w:val="20"/>
        </w:rPr>
        <w:t>就</w:t>
      </w:r>
      <w:r w:rsidRPr="00F73522">
        <w:rPr>
          <w:rFonts w:ascii="標楷體" w:eastAsia="標楷體" w:hAnsi="標楷體" w:cs="微軟正黑體" w:hint="eastAsia"/>
          <w:sz w:val="20"/>
          <w:szCs w:val="20"/>
        </w:rPr>
        <w:t>職務上所作決定或建議有影響力</w:t>
      </w:r>
      <w:r w:rsidRPr="00F73522">
        <w:rPr>
          <w:rFonts w:ascii="標楷體" w:eastAsia="標楷體" w:hAnsi="標楷體" w:cs="Gulim" w:hint="eastAsia"/>
          <w:sz w:val="20"/>
          <w:szCs w:val="20"/>
        </w:rPr>
        <w:t>。</w:t>
      </w:r>
    </w:p>
    <w:p w:rsidR="00ED148F" w:rsidRPr="00F73522" w:rsidRDefault="00ED148F" w:rsidP="00ED148F">
      <w:pPr>
        <w:tabs>
          <w:tab w:val="left" w:pos="426"/>
        </w:tabs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 xml:space="preserve">      </w:t>
      </w:r>
      <w:r w:rsidRPr="00F73522">
        <w:rPr>
          <w:rFonts w:ascii="標楷體" w:eastAsia="標楷體" w:hAnsi="標楷體" w:hint="eastAsia"/>
          <w:sz w:val="20"/>
          <w:szCs w:val="20"/>
        </w:rPr>
        <w:t>三、第一序列職稱：事務助理員。</w:t>
      </w:r>
    </w:p>
    <w:p w:rsidR="00ED148F" w:rsidRPr="00F73522" w:rsidRDefault="00ED148F" w:rsidP="00ED148F">
      <w:pPr>
        <w:tabs>
          <w:tab w:val="left" w:pos="426"/>
        </w:tabs>
        <w:snapToGrid w:val="0"/>
        <w:rPr>
          <w:rFonts w:ascii="標楷體" w:eastAsia="標楷體" w:hAnsi="標楷體" w:hint="eastAsia"/>
          <w:sz w:val="20"/>
          <w:szCs w:val="20"/>
        </w:rPr>
      </w:pPr>
      <w:r w:rsidRPr="00F73522">
        <w:rPr>
          <w:rFonts w:ascii="標楷體" w:eastAsia="標楷體" w:hAnsi="標楷體" w:hint="eastAsia"/>
          <w:b/>
          <w:sz w:val="18"/>
          <w:szCs w:val="18"/>
        </w:rPr>
        <w:t xml:space="preserve">     </w:t>
      </w:r>
      <w:r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Pr="00F73522">
        <w:rPr>
          <w:rFonts w:ascii="標楷體" w:eastAsia="標楷體" w:hAnsi="標楷體" w:hint="eastAsia"/>
          <w:b/>
          <w:sz w:val="18"/>
          <w:szCs w:val="18"/>
        </w:rPr>
        <w:t xml:space="preserve">    </w:t>
      </w:r>
      <w:r w:rsidRPr="00F73522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二</w:t>
      </w:r>
      <w:r w:rsidRPr="00F73522">
        <w:rPr>
          <w:rFonts w:ascii="標楷體" w:eastAsia="標楷體" w:hAnsi="標楷體" w:hint="eastAsia"/>
          <w:sz w:val="20"/>
          <w:szCs w:val="20"/>
        </w:rPr>
        <w:t>序列職稱</w:t>
      </w:r>
      <w:r>
        <w:rPr>
          <w:rFonts w:ascii="標楷體" w:eastAsia="標楷體" w:hAnsi="標楷體" w:hint="eastAsia"/>
          <w:sz w:val="20"/>
          <w:szCs w:val="20"/>
        </w:rPr>
        <w:t>包括</w:t>
      </w:r>
      <w:r w:rsidRPr="00F73522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助理技師、行政書記、助理技術師</w:t>
      </w:r>
      <w:r w:rsidRPr="00F73522">
        <w:rPr>
          <w:rFonts w:ascii="標楷體" w:eastAsia="標楷體" w:hAnsi="標楷體" w:hint="eastAsia"/>
          <w:sz w:val="20"/>
          <w:szCs w:val="20"/>
        </w:rPr>
        <w:t>。</w:t>
      </w:r>
    </w:p>
    <w:p w:rsidR="001051B0" w:rsidRDefault="00ED148F" w:rsidP="00ED148F">
      <w:pPr>
        <w:tabs>
          <w:tab w:val="left" w:pos="426"/>
        </w:tabs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  <w:b/>
          <w:sz w:val="18"/>
          <w:szCs w:val="18"/>
        </w:rPr>
        <w:t xml:space="preserve">          </w:t>
      </w:r>
      <w:r w:rsidRPr="00F73522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F73522">
        <w:rPr>
          <w:rFonts w:ascii="標楷體" w:eastAsia="標楷體" w:hAnsi="標楷體" w:hint="eastAsia"/>
          <w:sz w:val="20"/>
          <w:szCs w:val="20"/>
        </w:rPr>
        <w:t>序列職稱</w:t>
      </w:r>
      <w:r>
        <w:rPr>
          <w:rFonts w:ascii="標楷體" w:eastAsia="標楷體" w:hAnsi="標楷體" w:hint="eastAsia"/>
          <w:sz w:val="20"/>
          <w:szCs w:val="20"/>
        </w:rPr>
        <w:t>包括：副技師、專案專員、輔導師、行政辦事員、副技術師、聘僱護士</w:t>
      </w:r>
      <w:r w:rsidR="001051B0">
        <w:rPr>
          <w:rFonts w:ascii="標楷體" w:eastAsia="標楷體" w:hAnsi="標楷體" w:hint="eastAsia"/>
          <w:sz w:val="20"/>
          <w:szCs w:val="20"/>
        </w:rPr>
        <w:t>、</w:t>
      </w:r>
      <w:r w:rsidR="001051B0">
        <w:rPr>
          <w:rFonts w:ascii="標楷體" w:eastAsia="標楷體" w:hAnsi="標楷體" w:hint="eastAsia"/>
          <w:sz w:val="20"/>
          <w:szCs w:val="20"/>
        </w:rPr>
        <w:t>校安老師、營養師、</w:t>
      </w:r>
    </w:p>
    <w:p w:rsidR="00ED148F" w:rsidRPr="00F73522" w:rsidRDefault="001051B0" w:rsidP="00ED148F">
      <w:pPr>
        <w:tabs>
          <w:tab w:val="left" w:pos="426"/>
        </w:tabs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社工師</w:t>
      </w:r>
      <w:r w:rsidR="00ED148F">
        <w:rPr>
          <w:rFonts w:ascii="新細明體" w:hAnsi="新細明體" w:hint="eastAsia"/>
          <w:sz w:val="20"/>
          <w:szCs w:val="20"/>
        </w:rPr>
        <w:t>。</w:t>
      </w:r>
    </w:p>
    <w:p w:rsidR="001051B0" w:rsidRDefault="00ED148F" w:rsidP="001051B0">
      <w:pPr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  <w:b/>
          <w:sz w:val="18"/>
          <w:szCs w:val="18"/>
        </w:rPr>
        <w:t xml:space="preserve">          </w:t>
      </w:r>
      <w:r w:rsidRPr="00F73522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四</w:t>
      </w:r>
      <w:r w:rsidRPr="00F73522">
        <w:rPr>
          <w:rFonts w:ascii="標楷體" w:eastAsia="標楷體" w:hAnsi="標楷體" w:hint="eastAsia"/>
          <w:sz w:val="20"/>
          <w:szCs w:val="20"/>
        </w:rPr>
        <w:t>序列職稱</w:t>
      </w:r>
      <w:r>
        <w:rPr>
          <w:rFonts w:ascii="標楷體" w:eastAsia="標楷體" w:hAnsi="標楷體" w:hint="eastAsia"/>
          <w:sz w:val="20"/>
          <w:szCs w:val="20"/>
        </w:rPr>
        <w:t>包括：技師、專案經理、行政組員、技術師、聘僱護理師</w:t>
      </w:r>
      <w:r w:rsidR="001051B0">
        <w:rPr>
          <w:rFonts w:ascii="標楷體" w:eastAsia="標楷體" w:hAnsi="標楷體" w:hint="eastAsia"/>
          <w:sz w:val="20"/>
          <w:szCs w:val="20"/>
        </w:rPr>
        <w:t>、</w:t>
      </w:r>
      <w:r w:rsidR="001051B0">
        <w:rPr>
          <w:rFonts w:ascii="標楷體" w:eastAsia="標楷體" w:hAnsi="標楷體" w:hint="eastAsia"/>
          <w:sz w:val="20"/>
          <w:szCs w:val="20"/>
        </w:rPr>
        <w:t>資深輔導老師、資深校安老師、</w:t>
      </w:r>
    </w:p>
    <w:p w:rsidR="00ED148F" w:rsidRPr="00F73522" w:rsidRDefault="001051B0" w:rsidP="001051B0">
      <w:pPr>
        <w:snapToGrid w:val="0"/>
        <w:rPr>
          <w:rFonts w:hint="eastAsia"/>
          <w:b/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資深營養師、資深社工師</w:t>
      </w:r>
      <w:r w:rsidR="00ED148F">
        <w:rPr>
          <w:rFonts w:ascii="新細明體" w:hAnsi="新細明體" w:hint="eastAsia"/>
          <w:sz w:val="20"/>
          <w:szCs w:val="20"/>
        </w:rPr>
        <w:t>。</w:t>
      </w:r>
      <w:r w:rsidR="00ED148F" w:rsidRPr="00F73522">
        <w:rPr>
          <w:rFonts w:hint="eastAsia"/>
          <w:b/>
          <w:sz w:val="18"/>
          <w:szCs w:val="18"/>
        </w:rPr>
        <w:t xml:space="preserve"> </w:t>
      </w:r>
    </w:p>
    <w:p w:rsidR="001051B0" w:rsidRDefault="00ED148F" w:rsidP="001051B0">
      <w:pPr>
        <w:snapToGrid w:val="0"/>
        <w:rPr>
          <w:rFonts w:ascii="新細明體" w:hAnsi="新細明體"/>
          <w:sz w:val="20"/>
          <w:szCs w:val="20"/>
        </w:rPr>
      </w:pPr>
      <w:r>
        <w:rPr>
          <w:rFonts w:hint="eastAsia"/>
          <w:b/>
          <w:sz w:val="18"/>
          <w:szCs w:val="18"/>
        </w:rPr>
        <w:t xml:space="preserve">          </w:t>
      </w:r>
      <w:r w:rsidRPr="00F73522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五</w:t>
      </w:r>
      <w:r w:rsidRPr="00F73522">
        <w:rPr>
          <w:rFonts w:ascii="標楷體" w:eastAsia="標楷體" w:hAnsi="標楷體" w:hint="eastAsia"/>
          <w:sz w:val="20"/>
          <w:szCs w:val="20"/>
        </w:rPr>
        <w:t>序列職稱</w:t>
      </w:r>
      <w:r>
        <w:rPr>
          <w:rFonts w:ascii="標楷體" w:eastAsia="標楷體" w:hAnsi="標楷體" w:hint="eastAsia"/>
          <w:sz w:val="20"/>
          <w:szCs w:val="20"/>
        </w:rPr>
        <w:t>包括：高級技師、執行長、行政秘書、行政專員、高級技術師</w:t>
      </w:r>
      <w:r w:rsidR="001051B0">
        <w:rPr>
          <w:rFonts w:ascii="新細明體" w:eastAsia="新細明體" w:hAnsi="新細明體" w:hint="eastAsia"/>
          <w:sz w:val="20"/>
          <w:szCs w:val="20"/>
        </w:rPr>
        <w:t>。</w:t>
      </w:r>
    </w:p>
    <w:p w:rsidR="00ED148F" w:rsidRDefault="00ED148F" w:rsidP="00ED148F">
      <w:pPr>
        <w:snapToGrid w:val="0"/>
        <w:rPr>
          <w:rFonts w:hint="eastAsia"/>
          <w:b/>
          <w:sz w:val="18"/>
          <w:szCs w:val="18"/>
        </w:rPr>
      </w:pPr>
    </w:p>
    <w:p w:rsidR="00ED148F" w:rsidRPr="00F73522" w:rsidRDefault="00ED148F" w:rsidP="00ED148F">
      <w:pPr>
        <w:snapToGrid w:val="0"/>
        <w:rPr>
          <w:rFonts w:hint="eastAsia"/>
          <w:b/>
          <w:sz w:val="18"/>
          <w:szCs w:val="18"/>
        </w:rPr>
      </w:pPr>
    </w:p>
    <w:p w:rsidR="00ED148F" w:rsidRPr="00F73522" w:rsidRDefault="00ED148F" w:rsidP="00ED148F">
      <w:pPr>
        <w:snapToGrid w:val="0"/>
        <w:rPr>
          <w:rFonts w:ascii="標楷體" w:eastAsia="標楷體" w:hAnsi="標楷體"/>
          <w:sz w:val="18"/>
          <w:szCs w:val="18"/>
        </w:rPr>
      </w:pPr>
    </w:p>
    <w:p w:rsidR="00ED148F" w:rsidRPr="00ED148F" w:rsidRDefault="00ED148F">
      <w:pPr>
        <w:rPr>
          <w:rFonts w:hint="eastAsia"/>
        </w:rPr>
      </w:pPr>
    </w:p>
    <w:p w:rsidR="00ED148F" w:rsidRDefault="00ED148F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21793E" w:rsidRDefault="0021793E">
      <w:pPr>
        <w:rPr>
          <w:rFonts w:hint="eastAsia"/>
        </w:rPr>
      </w:pPr>
    </w:p>
    <w:p w:rsidR="00E70C24" w:rsidRDefault="00E70C24">
      <w:pPr>
        <w:rPr>
          <w:rFonts w:hint="eastAsia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58"/>
        <w:gridCol w:w="536"/>
        <w:gridCol w:w="906"/>
        <w:gridCol w:w="1260"/>
        <w:gridCol w:w="1450"/>
        <w:gridCol w:w="350"/>
        <w:gridCol w:w="6"/>
        <w:gridCol w:w="1078"/>
        <w:gridCol w:w="536"/>
        <w:gridCol w:w="180"/>
        <w:gridCol w:w="1440"/>
        <w:gridCol w:w="1800"/>
      </w:tblGrid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ind w:rightChars="-289" w:right="-694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9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國立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中興</w:t>
            </w:r>
            <w:r w:rsidRPr="003049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契約進用職</w:t>
            </w:r>
            <w:r w:rsidRPr="003049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升級</w:t>
            </w:r>
            <w:r w:rsidRPr="003049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申請表</w:t>
            </w:r>
          </w:p>
          <w:p w:rsidR="00E70C24" w:rsidRPr="003049B4" w:rsidRDefault="00E70C24" w:rsidP="00A0597E">
            <w:pPr>
              <w:ind w:rightChars="-289" w:right="-694"/>
              <w:jc w:val="right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3049B4">
              <w:rPr>
                <w:rFonts w:ascii="標楷體" w:eastAsia="標楷體" w:hAnsi="標楷體" w:hint="eastAsia"/>
                <w:b/>
                <w:bCs/>
              </w:rPr>
              <w:t xml:space="preserve">民國　　年　　月　　</w:t>
            </w:r>
            <w:proofErr w:type="gramStart"/>
            <w:r w:rsidRPr="003049B4">
              <w:rPr>
                <w:rFonts w:ascii="標楷體" w:eastAsia="標楷體" w:hAnsi="標楷體" w:hint="eastAsia"/>
                <w:b/>
                <w:bCs/>
              </w:rPr>
              <w:t>日填</w:t>
            </w:r>
            <w:proofErr w:type="gramEnd"/>
            <w:r w:rsidRPr="003049B4">
              <w:rPr>
                <w:rFonts w:ascii="標楷體" w:eastAsia="標楷體" w:hAnsi="標楷體" w:hint="eastAsia"/>
                <w:b/>
                <w:bCs/>
              </w:rPr>
              <w:t xml:space="preserve">　　日</w:t>
            </w: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11" w:right="-26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11" w:right="-26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薪點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11" w:right="-26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民國      年      月      日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到校日期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民國      年      月      日</w:t>
            </w: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11" w:right="-26"/>
              <w:jc w:val="distribute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民國      年      月      日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擬升級</w:t>
            </w:r>
            <w:r w:rsidRPr="003049B4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400" w:firstLine="960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人事室審核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人事室審核</w:t>
            </w: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共同選項40%</w:t>
            </w: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  歷10%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leftChars="147" w:left="353" w:rightChars="-289" w:right="-694"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獲頒個人績效獎金人員     4%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     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leftChars="147" w:left="353" w:rightChars="-289" w:right="-694"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資10%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200" w:firstLine="48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leftChars="147" w:left="353" w:rightChars="-289" w:right="-694" w:firstLineChars="50" w:firstLine="12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49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評    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          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考</w:t>
            </w:r>
          </w:p>
          <w:p w:rsidR="00E70C2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E70C2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E70C24" w:rsidRPr="003049B4" w:rsidRDefault="00E70C24" w:rsidP="00A0597E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      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450" w:firstLine="1080"/>
              <w:rPr>
                <w:rFonts w:ascii="標楷體" w:eastAsia="標楷體" w:hAnsi="標楷體" w:hint="eastAsia"/>
              </w:rPr>
            </w:pPr>
            <w:r w:rsidRPr="0055127C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英語能力   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      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450" w:firstLine="108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9" w:right="-22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      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450" w:firstLine="108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發展潛能  15%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FE3DE6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3049B4">
              <w:rPr>
                <w:rFonts w:ascii="標楷體" w:eastAsia="標楷體" w:hAnsi="標楷體" w:hint="eastAsia"/>
                <w:sz w:val="20"/>
                <w:szCs w:val="20"/>
              </w:rPr>
              <w:t>原主管考評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      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450" w:firstLine="10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協調溝通</w:t>
            </w:r>
          </w:p>
        </w:tc>
        <w:tc>
          <w:tcPr>
            <w:tcW w:w="32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 xml:space="preserve">      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C24" w:rsidRPr="003049B4" w:rsidRDefault="00E70C24" w:rsidP="00A0597E">
            <w:pPr>
              <w:spacing w:line="360" w:lineRule="exact"/>
              <w:ind w:rightChars="-289" w:right="-694" w:firstLineChars="450" w:firstLine="1080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團隊和諧</w:t>
            </w:r>
          </w:p>
        </w:tc>
        <w:tc>
          <w:tcPr>
            <w:tcW w:w="32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left="120"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評    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具體績效  18%</w:t>
            </w:r>
          </w:p>
          <w:p w:rsidR="00E70C24" w:rsidRPr="003049B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A936CD" w:rsidRDefault="00E70C24" w:rsidP="00A0597E">
            <w:pPr>
              <w:snapToGrid w:val="0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936CD">
              <w:rPr>
                <w:rFonts w:ascii="標楷體" w:eastAsia="標楷體" w:hAnsi="標楷體" w:hint="eastAsia"/>
                <w:sz w:val="20"/>
                <w:szCs w:val="20"/>
              </w:rPr>
              <w:t>（約用職員審議小組考評）</w:t>
            </w: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   懲10%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A936CD" w:rsidRDefault="00E70C24" w:rsidP="00A0597E">
            <w:pPr>
              <w:snapToGrid w:val="0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    分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Default="00E70C24" w:rsidP="00A0597E">
            <w:pPr>
              <w:spacing w:line="360" w:lineRule="exact"/>
              <w:ind w:rightChars="-9" w:right="-22"/>
              <w:rPr>
                <w:rFonts w:ascii="標楷體" w:eastAsia="標楷體" w:hAnsi="標楷體" w:hint="eastAsia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A936CD" w:rsidRDefault="00E70C24" w:rsidP="00A0597E">
            <w:pPr>
              <w:snapToGrid w:val="0"/>
              <w:ind w:rightChars="-289" w:right="-694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Pr="003049B4">
              <w:rPr>
                <w:rFonts w:ascii="標楷體" w:eastAsia="標楷體" w:hAnsi="標楷體" w:hint="eastAsia"/>
              </w:rPr>
              <w:t xml:space="preserve">綜合考評 20 </w:t>
            </w:r>
            <w:proofErr w:type="gramStart"/>
            <w:r w:rsidRPr="003049B4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90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49B4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49B4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49B4">
              <w:rPr>
                <w:rFonts w:ascii="標楷體" w:eastAsia="標楷體" w:hAnsi="標楷體" w:hint="eastAsia"/>
              </w:rPr>
              <w:t xml:space="preserve">計80 </w:t>
            </w:r>
            <w:proofErr w:type="gramStart"/>
            <w:r w:rsidRPr="003049B4">
              <w:rPr>
                <w:rFonts w:ascii="標楷體" w:eastAsia="標楷體" w:hAnsi="標楷體" w:hint="eastAsia"/>
              </w:rPr>
              <w:t>﹪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3049B4">
              <w:rPr>
                <w:rFonts w:ascii="標楷體" w:eastAsia="標楷體" w:hAnsi="標楷體" w:hint="eastAsia"/>
              </w:rPr>
              <w:t>或100</w:t>
            </w:r>
            <w:proofErr w:type="gramStart"/>
            <w:r w:rsidRPr="003049B4">
              <w:rPr>
                <w:rFonts w:ascii="標楷體" w:eastAsia="標楷體" w:hAnsi="標楷體" w:hint="eastAsia"/>
              </w:rPr>
              <w:t>﹪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業務測驗</w:t>
            </w:r>
            <w:r>
              <w:rPr>
                <w:rFonts w:ascii="標楷體" w:eastAsia="標楷體" w:hAnsi="標楷體" w:hint="eastAsia"/>
              </w:rPr>
              <w:t>1</w:t>
            </w:r>
            <w:r w:rsidRPr="003049B4">
              <w:rPr>
                <w:rFonts w:ascii="標楷體" w:eastAsia="標楷體" w:hAnsi="標楷體" w:hint="eastAsia"/>
              </w:rPr>
              <w:t xml:space="preserve">0 </w:t>
            </w:r>
            <w:proofErr w:type="gramStart"/>
            <w:r w:rsidRPr="003049B4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90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總                   分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3049B4">
              <w:rPr>
                <w:rFonts w:ascii="標楷體" w:eastAsia="標楷體" w:hAnsi="標楷體" w:hint="eastAsia"/>
              </w:rPr>
              <w:t>面試</w:t>
            </w:r>
            <w:r>
              <w:rPr>
                <w:rFonts w:ascii="標楷體" w:eastAsia="標楷體" w:hAnsi="標楷體" w:hint="eastAsia"/>
              </w:rPr>
              <w:t xml:space="preserve">     1</w:t>
            </w:r>
            <w:r w:rsidRPr="003049B4">
              <w:rPr>
                <w:rFonts w:ascii="標楷體" w:eastAsia="標楷體" w:hAnsi="標楷體" w:hint="eastAsia"/>
              </w:rPr>
              <w:t xml:space="preserve">0 </w:t>
            </w:r>
            <w:proofErr w:type="gramStart"/>
            <w:r w:rsidRPr="003049B4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3590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</w:p>
        </w:tc>
      </w:tr>
      <w:tr w:rsidR="00E70C24" w:rsidRPr="003049B4" w:rsidTr="00A0597E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3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A936CD">
              <w:rPr>
                <w:rFonts w:ascii="標楷體" w:eastAsia="標楷體" w:hAnsi="標楷體" w:hint="eastAsia"/>
              </w:rPr>
              <w:t>系、所主管或二級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936CD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3049B4" w:rsidRDefault="00E70C24" w:rsidP="00A0597E">
            <w:pPr>
              <w:spacing w:line="36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A936CD">
              <w:rPr>
                <w:rFonts w:ascii="標楷體" w:eastAsia="標楷體" w:hAnsi="標楷體" w:hint="eastAsia"/>
              </w:rPr>
              <w:t>一級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936CD">
              <w:rPr>
                <w:rFonts w:ascii="標楷體" w:eastAsia="標楷體" w:hAnsi="標楷體" w:hint="eastAsia"/>
              </w:rPr>
              <w:t>主管</w:t>
            </w:r>
          </w:p>
        </w:tc>
      </w:tr>
    </w:tbl>
    <w:p w:rsidR="00E70C24" w:rsidRPr="003049B4" w:rsidRDefault="00E70C24" w:rsidP="00E70C24">
      <w:pPr>
        <w:pStyle w:val="a7"/>
        <w:jc w:val="left"/>
        <w:rPr>
          <w:rFonts w:ascii="標楷體" w:eastAsia="標楷體" w:hAnsi="標楷體" w:hint="eastAsia"/>
        </w:rPr>
      </w:pPr>
      <w:r w:rsidRPr="003049B4">
        <w:rPr>
          <w:rFonts w:ascii="標楷體" w:eastAsia="標楷體" w:hAnsi="標楷體" w:hint="eastAsia"/>
        </w:rPr>
        <w:t xml:space="preserve">注意事項：                                                        </w:t>
      </w:r>
      <w:r>
        <w:rPr>
          <w:rFonts w:ascii="標楷體" w:eastAsia="標楷體" w:hAnsi="標楷體" w:hint="eastAsia"/>
        </w:rPr>
        <w:t xml:space="preserve">      </w:t>
      </w:r>
    </w:p>
    <w:p w:rsidR="00E70C24" w:rsidRPr="003049B4" w:rsidRDefault="00E70C24" w:rsidP="00E70C24">
      <w:pPr>
        <w:ind w:rightChars="-289" w:right="-694"/>
        <w:rPr>
          <w:rFonts w:ascii="標楷體" w:eastAsia="標楷體" w:hAnsi="標楷體" w:hint="eastAsia"/>
        </w:rPr>
      </w:pPr>
      <w:r w:rsidRPr="003049B4">
        <w:rPr>
          <w:rFonts w:ascii="標楷體" w:eastAsia="標楷體" w:hAnsi="標楷體" w:hint="eastAsia"/>
        </w:rPr>
        <w:t>一、請依「國立</w:t>
      </w:r>
      <w:r>
        <w:rPr>
          <w:rFonts w:ascii="標楷體" w:eastAsia="標楷體" w:hAnsi="標楷體" w:hint="eastAsia"/>
        </w:rPr>
        <w:t>中興</w:t>
      </w:r>
      <w:r w:rsidRPr="003049B4">
        <w:rPr>
          <w:rFonts w:ascii="標楷體" w:eastAsia="標楷體" w:hAnsi="標楷體" w:hint="eastAsia"/>
        </w:rPr>
        <w:t>大學</w:t>
      </w:r>
      <w:r>
        <w:rPr>
          <w:rFonts w:ascii="標楷體" w:eastAsia="標楷體" w:hAnsi="標楷體" w:hint="eastAsia"/>
        </w:rPr>
        <w:t>契約進用職</w:t>
      </w:r>
      <w:r w:rsidRPr="003049B4">
        <w:rPr>
          <w:rFonts w:ascii="標楷體" w:eastAsia="標楷體" w:hAnsi="標楷體" w:hint="eastAsia"/>
        </w:rPr>
        <w:t>員</w:t>
      </w:r>
      <w:r>
        <w:rPr>
          <w:rFonts w:ascii="標楷體" w:eastAsia="標楷體" w:hAnsi="標楷體" w:hint="eastAsia"/>
        </w:rPr>
        <w:t>升級</w:t>
      </w:r>
      <w:r w:rsidRPr="003049B4">
        <w:rPr>
          <w:rFonts w:ascii="標楷體" w:eastAsia="標楷體" w:hAnsi="標楷體" w:hint="eastAsia"/>
        </w:rPr>
        <w:t>評分標準表」規定填寫。各項年資計算至報名截止日之當月。</w:t>
      </w:r>
    </w:p>
    <w:p w:rsidR="00E70C24" w:rsidRPr="003049B4" w:rsidRDefault="00E70C24" w:rsidP="00E70C24">
      <w:pPr>
        <w:ind w:rightChars="-289" w:right="-694"/>
        <w:rPr>
          <w:rFonts w:ascii="標楷體" w:eastAsia="標楷體" w:hAnsi="標楷體" w:hint="eastAsia"/>
        </w:rPr>
      </w:pPr>
      <w:r w:rsidRPr="003049B4">
        <w:rPr>
          <w:rFonts w:ascii="標楷體" w:eastAsia="標楷體" w:hAnsi="標楷體" w:hint="eastAsia"/>
        </w:rPr>
        <w:t>二、請依評分標準</w:t>
      </w:r>
      <w:r>
        <w:rPr>
          <w:rFonts w:ascii="標楷體" w:eastAsia="標楷體" w:hAnsi="標楷體" w:hint="eastAsia"/>
        </w:rPr>
        <w:t>表</w:t>
      </w:r>
      <w:r w:rsidRPr="003049B4">
        <w:rPr>
          <w:rFonts w:ascii="標楷體" w:eastAsia="標楷體" w:hAnsi="標楷體" w:hint="eastAsia"/>
        </w:rPr>
        <w:t>填妥各欄資料及計分，</w:t>
      </w:r>
      <w:r>
        <w:rPr>
          <w:rFonts w:ascii="標楷體" w:eastAsia="標楷體" w:hAnsi="標楷體" w:hint="eastAsia"/>
        </w:rPr>
        <w:t>申請</w:t>
      </w:r>
      <w:r w:rsidRPr="003049B4">
        <w:rPr>
          <w:rFonts w:ascii="標楷體" w:eastAsia="標楷體" w:hAnsi="標楷體" w:hint="eastAsia"/>
        </w:rPr>
        <w:t>書格式如不敷使用</w:t>
      </w:r>
      <w:r>
        <w:rPr>
          <w:rFonts w:ascii="標楷體" w:eastAsia="標楷體" w:hAnsi="標楷體" w:hint="eastAsia"/>
        </w:rPr>
        <w:t>，</w:t>
      </w:r>
      <w:r w:rsidRPr="003049B4">
        <w:rPr>
          <w:rFonts w:ascii="標楷體" w:eastAsia="標楷體" w:hAnsi="標楷體" w:hint="eastAsia"/>
        </w:rPr>
        <w:t>請另附附件並以一張A4紙為限。</w:t>
      </w:r>
    </w:p>
    <w:p w:rsidR="00E70C24" w:rsidRDefault="00E70C24" w:rsidP="00E70C24">
      <w:pPr>
        <w:rPr>
          <w:rFonts w:ascii="標楷體" w:eastAsia="標楷體" w:hAnsi="標楷體" w:hint="eastAsia"/>
        </w:rPr>
      </w:pPr>
      <w:r w:rsidRPr="003049B4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本申請表</w:t>
      </w:r>
      <w:r w:rsidRPr="003049B4">
        <w:rPr>
          <w:rFonts w:ascii="標楷體" w:eastAsia="標楷體" w:hAnsi="標楷體" w:hint="eastAsia"/>
        </w:rPr>
        <w:t>請填表人簽章並附相關證明文件影本。</w:t>
      </w:r>
    </w:p>
    <w:p w:rsidR="00E70C24" w:rsidRDefault="00E70C24" w:rsidP="00E70C24">
      <w:pPr>
        <w:rPr>
          <w:rFonts w:ascii="標楷體" w:eastAsia="標楷體" w:hAnsi="標楷體" w:hint="eastAsia"/>
        </w:rPr>
      </w:pPr>
    </w:p>
    <w:p w:rsidR="00E70C24" w:rsidRDefault="00E70C24" w:rsidP="00E70C24">
      <w:pPr>
        <w:rPr>
          <w:rFonts w:ascii="標楷體" w:eastAsia="標楷體" w:hAnsi="標楷體" w:hint="eastAsia"/>
        </w:rPr>
      </w:pPr>
    </w:p>
    <w:p w:rsidR="00E70C24" w:rsidRPr="00E70C24" w:rsidRDefault="00E70C24">
      <w:pPr>
        <w:rPr>
          <w:rFonts w:hint="eastAsia"/>
        </w:rPr>
      </w:pPr>
      <w:bookmarkStart w:id="0" w:name="_GoBack"/>
      <w:bookmarkEnd w:id="0"/>
    </w:p>
    <w:p w:rsidR="0021793E" w:rsidRPr="00ED148F" w:rsidRDefault="0021793E"/>
    <w:sectPr w:rsidR="0021793E" w:rsidRPr="00ED148F" w:rsidSect="00776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5C" w:rsidRDefault="00110F5C" w:rsidP="00ED148F">
      <w:r>
        <w:separator/>
      </w:r>
    </w:p>
  </w:endnote>
  <w:endnote w:type="continuationSeparator" w:id="0">
    <w:p w:rsidR="00110F5C" w:rsidRDefault="00110F5C" w:rsidP="00E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|.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5C" w:rsidRDefault="00110F5C" w:rsidP="00ED148F">
      <w:r>
        <w:separator/>
      </w:r>
    </w:p>
  </w:footnote>
  <w:footnote w:type="continuationSeparator" w:id="0">
    <w:p w:rsidR="00110F5C" w:rsidRDefault="00110F5C" w:rsidP="00ED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D58"/>
    <w:multiLevelType w:val="hybridMultilevel"/>
    <w:tmpl w:val="B7AAA3DE"/>
    <w:lvl w:ilvl="0" w:tplc="842C347E">
      <w:start w:val="1"/>
      <w:numFmt w:val="taiwaneseCountingThousand"/>
      <w:lvlText w:val="%1、"/>
      <w:lvlJc w:val="left"/>
      <w:pPr>
        <w:tabs>
          <w:tab w:val="num" w:pos="0"/>
        </w:tabs>
        <w:ind w:left="611" w:hanging="6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B47B3F"/>
    <w:multiLevelType w:val="hybridMultilevel"/>
    <w:tmpl w:val="FEBACBFA"/>
    <w:lvl w:ilvl="0" w:tplc="842C347E">
      <w:start w:val="1"/>
      <w:numFmt w:val="taiwaneseCountingThousand"/>
      <w:lvlText w:val="%1、"/>
      <w:lvlJc w:val="left"/>
      <w:pPr>
        <w:tabs>
          <w:tab w:val="num" w:pos="0"/>
        </w:tabs>
        <w:ind w:left="611" w:hanging="6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FE2D16"/>
    <w:multiLevelType w:val="hybridMultilevel"/>
    <w:tmpl w:val="D4AC4D10"/>
    <w:lvl w:ilvl="0" w:tplc="17F6B8E4">
      <w:start w:val="1"/>
      <w:numFmt w:val="taiwaneseCountingThousand"/>
      <w:lvlText w:val="%1、"/>
      <w:lvlJc w:val="left"/>
      <w:pPr>
        <w:tabs>
          <w:tab w:val="num" w:pos="0"/>
        </w:tabs>
        <w:ind w:left="611" w:hanging="61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29119B"/>
    <w:multiLevelType w:val="hybridMultilevel"/>
    <w:tmpl w:val="14BCD52A"/>
    <w:lvl w:ilvl="0" w:tplc="842C347E">
      <w:start w:val="1"/>
      <w:numFmt w:val="taiwaneseCountingThousand"/>
      <w:lvlText w:val="%1、"/>
      <w:lvlJc w:val="left"/>
      <w:pPr>
        <w:tabs>
          <w:tab w:val="num" w:pos="0"/>
        </w:tabs>
        <w:ind w:left="611" w:hanging="6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4026007"/>
    <w:multiLevelType w:val="hybridMultilevel"/>
    <w:tmpl w:val="653AB9FC"/>
    <w:lvl w:ilvl="0" w:tplc="842C347E">
      <w:start w:val="1"/>
      <w:numFmt w:val="taiwaneseCountingThousand"/>
      <w:lvlText w:val="%1、"/>
      <w:lvlJc w:val="left"/>
      <w:pPr>
        <w:tabs>
          <w:tab w:val="num" w:pos="0"/>
        </w:tabs>
        <w:ind w:left="611" w:hanging="6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74"/>
    <w:rsid w:val="001051B0"/>
    <w:rsid w:val="00110F5C"/>
    <w:rsid w:val="0021793E"/>
    <w:rsid w:val="004818C9"/>
    <w:rsid w:val="00776A74"/>
    <w:rsid w:val="00E70C24"/>
    <w:rsid w:val="00E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A7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48F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48F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D148F"/>
    <w:rPr>
      <w:rFonts w:eastAsia="新細明體"/>
    </w:rPr>
  </w:style>
  <w:style w:type="paragraph" w:customStyle="1" w:styleId="Default">
    <w:name w:val="Default"/>
    <w:rsid w:val="00ED148F"/>
    <w:pPr>
      <w:widowControl w:val="0"/>
      <w:autoSpaceDE w:val="0"/>
      <w:autoSpaceDN w:val="0"/>
      <w:adjustRightInd w:val="0"/>
    </w:pPr>
    <w:rPr>
      <w:rFonts w:ascii="標楷體|.." w:eastAsia="標楷體|.." w:hAnsi="Calibri" w:cs="標楷體|.."/>
      <w:color w:val="000000"/>
      <w:kern w:val="0"/>
      <w:szCs w:val="24"/>
    </w:rPr>
  </w:style>
  <w:style w:type="paragraph" w:styleId="a7">
    <w:name w:val="Note Heading"/>
    <w:basedOn w:val="a"/>
    <w:next w:val="a"/>
    <w:link w:val="a8"/>
    <w:rsid w:val="00E70C24"/>
    <w:pPr>
      <w:autoSpaceDE/>
      <w:autoSpaceDN/>
      <w:adjustRightInd/>
      <w:jc w:val="center"/>
    </w:pPr>
    <w:rPr>
      <w:rFonts w:eastAsia="新細明體"/>
      <w:kern w:val="2"/>
    </w:rPr>
  </w:style>
  <w:style w:type="character" w:customStyle="1" w:styleId="a8">
    <w:name w:val="註釋標題 字元"/>
    <w:basedOn w:val="a0"/>
    <w:link w:val="a7"/>
    <w:rsid w:val="00E70C24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A7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48F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48F"/>
    <w:rPr>
      <w:rFonts w:ascii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D148F"/>
    <w:rPr>
      <w:rFonts w:eastAsia="新細明體"/>
    </w:rPr>
  </w:style>
  <w:style w:type="paragraph" w:customStyle="1" w:styleId="Default">
    <w:name w:val="Default"/>
    <w:rsid w:val="00ED148F"/>
    <w:pPr>
      <w:widowControl w:val="0"/>
      <w:autoSpaceDE w:val="0"/>
      <w:autoSpaceDN w:val="0"/>
      <w:adjustRightInd w:val="0"/>
    </w:pPr>
    <w:rPr>
      <w:rFonts w:ascii="標楷體|.." w:eastAsia="標楷體|.." w:hAnsi="Calibri" w:cs="標楷體|.."/>
      <w:color w:val="000000"/>
      <w:kern w:val="0"/>
      <w:szCs w:val="24"/>
    </w:rPr>
  </w:style>
  <w:style w:type="paragraph" w:styleId="a7">
    <w:name w:val="Note Heading"/>
    <w:basedOn w:val="a"/>
    <w:next w:val="a"/>
    <w:link w:val="a8"/>
    <w:rsid w:val="00E70C24"/>
    <w:pPr>
      <w:autoSpaceDE/>
      <w:autoSpaceDN/>
      <w:adjustRightInd/>
      <w:jc w:val="center"/>
    </w:pPr>
    <w:rPr>
      <w:rFonts w:eastAsia="新細明體"/>
      <w:kern w:val="2"/>
    </w:rPr>
  </w:style>
  <w:style w:type="character" w:customStyle="1" w:styleId="a8">
    <w:name w:val="註釋標題 字元"/>
    <w:basedOn w:val="a0"/>
    <w:link w:val="a7"/>
    <w:rsid w:val="00E70C2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2017-09-30T03:30:00Z</dcterms:created>
  <dcterms:modified xsi:type="dcterms:W3CDTF">2017-09-30T03:41:00Z</dcterms:modified>
</cp:coreProperties>
</file>