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B1" w:rsidRDefault="009D72B1" w:rsidP="009D72B1">
      <w:pPr>
        <w:spacing w:before="100" w:beforeAutospacing="1" w:after="100" w:afterAutospacing="1"/>
        <w:jc w:val="center"/>
      </w:pPr>
      <w:bookmarkStart w:id="0" w:name="_GoBack"/>
      <w:r>
        <w:rPr>
          <w:rFonts w:ascii="標楷體" w:eastAsia="標楷體" w:hAnsi="標楷體" w:hint="eastAsia"/>
          <w:sz w:val="36"/>
          <w:szCs w:val="36"/>
        </w:rPr>
        <w:t>國立中興大學</w:t>
      </w:r>
      <w:proofErr w:type="gramStart"/>
      <w:r>
        <w:rPr>
          <w:rFonts w:ascii="標楷體" w:eastAsia="標楷體" w:hAnsi="標楷體" w:hint="eastAsia"/>
          <w:sz w:val="36"/>
          <w:szCs w:val="36"/>
        </w:rPr>
        <w:t>100</w:t>
      </w:r>
      <w:proofErr w:type="gramEnd"/>
      <w:r>
        <w:rPr>
          <w:rFonts w:ascii="標楷體" w:eastAsia="標楷體" w:hAnsi="標楷體" w:hint="eastAsia"/>
          <w:sz w:val="36"/>
          <w:szCs w:val="36"/>
        </w:rPr>
        <w:t>年度講座</w:t>
      </w:r>
      <w:proofErr w:type="gramStart"/>
      <w:r>
        <w:rPr>
          <w:rFonts w:ascii="標楷體" w:eastAsia="標楷體" w:hAnsi="標楷體" w:hint="eastAsia"/>
          <w:sz w:val="36"/>
          <w:szCs w:val="36"/>
        </w:rPr>
        <w:t>遴</w:t>
      </w:r>
      <w:proofErr w:type="gramEnd"/>
      <w:r>
        <w:rPr>
          <w:rFonts w:ascii="標楷體" w:eastAsia="標楷體" w:hAnsi="標楷體" w:hint="eastAsia"/>
          <w:sz w:val="36"/>
          <w:szCs w:val="36"/>
        </w:rPr>
        <w:t>聘審議委員會第2次會議</w:t>
      </w:r>
    </w:p>
    <w:p w:rsidR="009D72B1" w:rsidRDefault="009D72B1" w:rsidP="009D72B1">
      <w:pPr>
        <w:spacing w:before="100" w:beforeAutospacing="1" w:after="100" w:afterAutospacing="1"/>
        <w:jc w:val="center"/>
      </w:pPr>
      <w:r>
        <w:rPr>
          <w:rFonts w:ascii="標楷體" w:eastAsia="標楷體" w:hAnsi="標楷體" w:hint="eastAsia"/>
          <w:sz w:val="36"/>
          <w:szCs w:val="36"/>
        </w:rPr>
        <w:t>會議紀錄</w:t>
      </w:r>
    </w:p>
    <w:bookmarkEnd w:id="0"/>
    <w:p w:rsidR="009D72B1" w:rsidRDefault="009D72B1" w:rsidP="009D72B1">
      <w:pPr>
        <w:topLinePunct/>
        <w:spacing w:before="120" w:line="320" w:lineRule="atLeast"/>
        <w:ind w:right="5"/>
      </w:pPr>
      <w:r>
        <w:rPr>
          <w:rFonts w:ascii="標楷體" w:eastAsia="標楷體" w:hAnsi="標楷體" w:hint="eastAsia"/>
          <w:sz w:val="27"/>
          <w:szCs w:val="27"/>
        </w:rPr>
        <w:t>時間：100年11月2日(星期三)上午10時</w:t>
      </w:r>
    </w:p>
    <w:p w:rsidR="009D72B1" w:rsidRDefault="009D72B1" w:rsidP="009D72B1">
      <w:pPr>
        <w:topLinePunct/>
        <w:spacing w:before="120" w:line="320" w:lineRule="atLeast"/>
        <w:ind w:right="5"/>
      </w:pPr>
      <w:r>
        <w:rPr>
          <w:rFonts w:ascii="標楷體" w:eastAsia="標楷體" w:hAnsi="標楷體" w:hint="eastAsia"/>
          <w:sz w:val="27"/>
          <w:szCs w:val="27"/>
        </w:rPr>
        <w:t>地點：行政大樓2樓第2會議室</w:t>
      </w:r>
    </w:p>
    <w:p w:rsidR="009D72B1" w:rsidRDefault="009D72B1" w:rsidP="009D72B1">
      <w:pPr>
        <w:topLinePunct/>
        <w:spacing w:before="120" w:line="320" w:lineRule="atLeast"/>
        <w:ind w:right="5"/>
      </w:pPr>
      <w:r>
        <w:rPr>
          <w:rFonts w:ascii="標楷體" w:eastAsia="標楷體" w:hAnsi="標楷體" w:hint="eastAsia"/>
          <w:sz w:val="27"/>
          <w:szCs w:val="27"/>
        </w:rPr>
        <w:t>主持人：徐副校長 堯</w:t>
      </w:r>
      <w:proofErr w:type="gramStart"/>
      <w:r>
        <w:rPr>
          <w:rFonts w:ascii="標楷體" w:eastAsia="標楷體" w:hAnsi="標楷體" w:hint="eastAsia"/>
          <w:sz w:val="27"/>
          <w:szCs w:val="27"/>
        </w:rPr>
        <w:t>煇</w:t>
      </w:r>
      <w:proofErr w:type="gramEnd"/>
    </w:p>
    <w:p w:rsidR="009D72B1" w:rsidRDefault="009D72B1" w:rsidP="009D72B1">
      <w:pPr>
        <w:topLinePunct/>
        <w:spacing w:before="120" w:line="320" w:lineRule="atLeast"/>
        <w:ind w:right="5"/>
      </w:pPr>
      <w:r>
        <w:rPr>
          <w:rFonts w:ascii="標楷體" w:eastAsia="標楷體" w:hAnsi="標楷體" w:hint="eastAsia"/>
          <w:sz w:val="27"/>
          <w:szCs w:val="27"/>
        </w:rPr>
        <w:t>紀錄：盧逸斌</w:t>
      </w:r>
    </w:p>
    <w:p w:rsidR="009D72B1" w:rsidRDefault="009D72B1" w:rsidP="009D72B1">
      <w:pPr>
        <w:topLinePunct/>
        <w:spacing w:before="120" w:line="320" w:lineRule="atLeast"/>
        <w:ind w:left="1133" w:right="5" w:hanging="1140"/>
      </w:pPr>
      <w:r>
        <w:rPr>
          <w:rFonts w:ascii="標楷體" w:eastAsia="標楷體" w:hAnsi="標楷體" w:hint="eastAsia"/>
          <w:sz w:val="27"/>
          <w:szCs w:val="27"/>
        </w:rPr>
        <w:t>出席人員：徐召集人堯</w:t>
      </w:r>
      <w:proofErr w:type="gramStart"/>
      <w:r>
        <w:rPr>
          <w:rFonts w:ascii="標楷體" w:eastAsia="標楷體" w:hAnsi="標楷體" w:hint="eastAsia"/>
          <w:sz w:val="27"/>
          <w:szCs w:val="27"/>
        </w:rPr>
        <w:t>煇</w:t>
      </w:r>
      <w:proofErr w:type="gramEnd"/>
      <w:r>
        <w:rPr>
          <w:rFonts w:ascii="標楷體" w:eastAsia="標楷體" w:hAnsi="標楷體" w:hint="eastAsia"/>
          <w:sz w:val="27"/>
          <w:szCs w:val="27"/>
        </w:rPr>
        <w:t>、蔡委員新聲、陳委員良</w:t>
      </w:r>
      <w:proofErr w:type="gramStart"/>
      <w:r>
        <w:rPr>
          <w:rFonts w:ascii="標楷體" w:eastAsia="標楷體" w:hAnsi="標楷體" w:hint="eastAsia"/>
          <w:sz w:val="27"/>
          <w:szCs w:val="27"/>
        </w:rPr>
        <w:t>弼</w:t>
      </w:r>
      <w:proofErr w:type="gramEnd"/>
      <w:r>
        <w:rPr>
          <w:rFonts w:ascii="標楷體" w:eastAsia="標楷體" w:hAnsi="標楷體" w:hint="eastAsia"/>
          <w:sz w:val="27"/>
          <w:szCs w:val="27"/>
        </w:rPr>
        <w:t>、鄭委員登貴、</w:t>
      </w:r>
      <w:proofErr w:type="gramStart"/>
      <w:r>
        <w:rPr>
          <w:rFonts w:ascii="標楷體" w:eastAsia="標楷體" w:hAnsi="標楷體" w:hint="eastAsia"/>
          <w:sz w:val="27"/>
          <w:szCs w:val="27"/>
        </w:rPr>
        <w:t>宋委員燕輝</w:t>
      </w:r>
      <w:proofErr w:type="gramEnd"/>
      <w:r>
        <w:rPr>
          <w:rFonts w:ascii="標楷體" w:eastAsia="標楷體" w:hAnsi="標楷體" w:hint="eastAsia"/>
          <w:sz w:val="27"/>
          <w:szCs w:val="27"/>
        </w:rPr>
        <w:t>、王委員明</w:t>
      </w:r>
      <w:proofErr w:type="gramStart"/>
      <w:r>
        <w:rPr>
          <w:rFonts w:ascii="標楷體" w:eastAsia="標楷體" w:hAnsi="標楷體" w:hint="eastAsia"/>
          <w:sz w:val="27"/>
          <w:szCs w:val="27"/>
        </w:rPr>
        <w:t>珂</w:t>
      </w:r>
      <w:proofErr w:type="gramEnd"/>
      <w:r>
        <w:rPr>
          <w:rFonts w:ascii="標楷體" w:eastAsia="標楷體" w:hAnsi="標楷體" w:hint="eastAsia"/>
          <w:sz w:val="27"/>
          <w:szCs w:val="27"/>
        </w:rPr>
        <w:t>、顏委員國欽、陳委員志鴻、林委員俊良、</w:t>
      </w:r>
      <w:proofErr w:type="gramStart"/>
      <w:r>
        <w:rPr>
          <w:rFonts w:ascii="標楷體" w:eastAsia="標楷體" w:hAnsi="標楷體" w:hint="eastAsia"/>
          <w:sz w:val="27"/>
          <w:szCs w:val="27"/>
        </w:rPr>
        <w:t>張委員天傑</w:t>
      </w:r>
      <w:proofErr w:type="gramEnd"/>
      <w:r>
        <w:rPr>
          <w:rFonts w:ascii="標楷體" w:eastAsia="標楷體" w:hAnsi="標楷體" w:hint="eastAsia"/>
          <w:sz w:val="27"/>
          <w:szCs w:val="27"/>
        </w:rPr>
        <w:t>、林委員丙輝</w:t>
      </w:r>
    </w:p>
    <w:p w:rsidR="009D72B1" w:rsidRDefault="009D72B1" w:rsidP="009D72B1">
      <w:pPr>
        <w:topLinePunct/>
        <w:spacing w:before="120" w:line="320" w:lineRule="atLeast"/>
        <w:ind w:left="1275" w:right="5" w:hanging="1282"/>
      </w:pPr>
      <w:r>
        <w:rPr>
          <w:rFonts w:ascii="標楷體" w:eastAsia="標楷體" w:hAnsi="標楷體" w:hint="eastAsia"/>
          <w:sz w:val="27"/>
          <w:szCs w:val="27"/>
        </w:rPr>
        <w:t>列席人員：</w:t>
      </w:r>
      <w:proofErr w:type="gramStart"/>
      <w:r>
        <w:rPr>
          <w:rFonts w:ascii="標楷體" w:eastAsia="標楷體" w:hAnsi="標楷體" w:hint="eastAsia"/>
          <w:sz w:val="27"/>
          <w:szCs w:val="27"/>
        </w:rPr>
        <w:t>朱主任建鏞</w:t>
      </w:r>
      <w:proofErr w:type="gramEnd"/>
      <w:r>
        <w:rPr>
          <w:rFonts w:ascii="標楷體" w:eastAsia="標楷體" w:hAnsi="標楷體" w:hint="eastAsia"/>
          <w:sz w:val="27"/>
          <w:szCs w:val="27"/>
        </w:rPr>
        <w:t>、</w:t>
      </w:r>
      <w:proofErr w:type="gramStart"/>
      <w:r>
        <w:rPr>
          <w:rFonts w:ascii="標楷體" w:eastAsia="標楷體" w:hAnsi="標楷體" w:hint="eastAsia"/>
          <w:sz w:val="27"/>
          <w:szCs w:val="27"/>
        </w:rPr>
        <w:t>陳主任加忠</w:t>
      </w:r>
      <w:proofErr w:type="gramEnd"/>
      <w:r>
        <w:rPr>
          <w:rFonts w:ascii="標楷體" w:eastAsia="標楷體" w:hAnsi="標楷體" w:hint="eastAsia"/>
          <w:sz w:val="27"/>
          <w:szCs w:val="27"/>
        </w:rPr>
        <w:t>、</w:t>
      </w:r>
      <w:proofErr w:type="gramStart"/>
      <w:r>
        <w:rPr>
          <w:rFonts w:ascii="標楷體" w:eastAsia="標楷體" w:hAnsi="標楷體" w:hint="eastAsia"/>
          <w:sz w:val="27"/>
          <w:szCs w:val="27"/>
        </w:rPr>
        <w:t>詹教授富智</w:t>
      </w:r>
      <w:proofErr w:type="gramEnd"/>
      <w:r>
        <w:rPr>
          <w:rFonts w:ascii="標楷體" w:eastAsia="標楷體" w:hAnsi="標楷體" w:hint="eastAsia"/>
          <w:sz w:val="27"/>
          <w:szCs w:val="27"/>
        </w:rPr>
        <w:t>、白專門委員敏瑩、何組長孟書、李主任少華、王專門委員嘉莉、羅組長</w:t>
      </w:r>
      <w:proofErr w:type="gramStart"/>
      <w:r>
        <w:rPr>
          <w:rFonts w:ascii="標楷體" w:eastAsia="標楷體" w:hAnsi="標楷體" w:hint="eastAsia"/>
          <w:sz w:val="27"/>
          <w:szCs w:val="27"/>
        </w:rPr>
        <w:t>筱</w:t>
      </w:r>
      <w:proofErr w:type="gramEnd"/>
      <w:r>
        <w:rPr>
          <w:rFonts w:ascii="標楷體" w:eastAsia="標楷體" w:hAnsi="標楷體" w:hint="eastAsia"/>
          <w:sz w:val="27"/>
          <w:szCs w:val="27"/>
        </w:rPr>
        <w:t>卿</w:t>
      </w:r>
    </w:p>
    <w:p w:rsidR="009D72B1" w:rsidRDefault="009D72B1" w:rsidP="009D72B1">
      <w:pPr>
        <w:topLinePunct/>
        <w:spacing w:before="240" w:line="320" w:lineRule="atLeast"/>
        <w:ind w:right="6"/>
      </w:pPr>
      <w:r>
        <w:rPr>
          <w:rFonts w:ascii="標楷體" w:eastAsia="標楷體" w:hAnsi="標楷體" w:hint="eastAsia"/>
          <w:sz w:val="27"/>
          <w:szCs w:val="27"/>
        </w:rPr>
        <w:t>壹、主席報告（略）</w:t>
      </w:r>
    </w:p>
    <w:p w:rsidR="009D72B1" w:rsidRDefault="009D72B1" w:rsidP="009D72B1">
      <w:pPr>
        <w:spacing w:before="100" w:beforeAutospacing="1" w:after="100" w:afterAutospacing="1"/>
        <w:jc w:val="both"/>
      </w:pPr>
      <w:r>
        <w:rPr>
          <w:rFonts w:ascii="標楷體" w:eastAsia="標楷體" w:hAnsi="標楷體" w:hint="eastAsia"/>
          <w:sz w:val="27"/>
          <w:szCs w:val="27"/>
        </w:rPr>
        <w:t>貳、確認上次會議紀錄：</w:t>
      </w:r>
    </w:p>
    <w:p w:rsidR="009D72B1" w:rsidRDefault="009D72B1" w:rsidP="009D72B1">
      <w:pPr>
        <w:spacing w:before="100" w:beforeAutospacing="1" w:after="100" w:afterAutospacing="1"/>
        <w:ind w:left="564" w:hanging="26"/>
        <w:jc w:val="both"/>
      </w:pPr>
      <w:r>
        <w:rPr>
          <w:rFonts w:ascii="標楷體" w:eastAsia="標楷體" w:hAnsi="標楷體" w:hint="eastAsia"/>
          <w:sz w:val="27"/>
          <w:szCs w:val="27"/>
        </w:rPr>
        <w:t>按會議結論，講座</w:t>
      </w:r>
      <w:proofErr w:type="gramStart"/>
      <w:r>
        <w:rPr>
          <w:rFonts w:ascii="標楷體" w:eastAsia="標楷體" w:hAnsi="標楷體" w:hint="eastAsia"/>
          <w:sz w:val="27"/>
          <w:szCs w:val="27"/>
        </w:rPr>
        <w:t>遴</w:t>
      </w:r>
      <w:proofErr w:type="gramEnd"/>
      <w:r>
        <w:rPr>
          <w:rFonts w:ascii="標楷體" w:eastAsia="標楷體" w:hAnsi="標楷體" w:hint="eastAsia"/>
          <w:sz w:val="27"/>
          <w:szCs w:val="27"/>
        </w:rPr>
        <w:t>聘申請案之審查評分方式如下：</w:t>
      </w:r>
    </w:p>
    <w:p w:rsidR="009D72B1" w:rsidRDefault="009D72B1" w:rsidP="009D72B1">
      <w:pPr>
        <w:spacing w:before="100" w:beforeAutospacing="1" w:after="100" w:afterAutospacing="1"/>
        <w:ind w:left="566"/>
      </w:pPr>
      <w:r>
        <w:rPr>
          <w:rFonts w:ascii="標楷體" w:eastAsia="標楷體" w:hAnsi="標楷體" w:hint="eastAsia"/>
          <w:sz w:val="27"/>
          <w:szCs w:val="27"/>
        </w:rPr>
        <w:t>1.依本校「講座教授評審標準暨評審表」逐案評分。</w:t>
      </w:r>
    </w:p>
    <w:p w:rsidR="009D72B1" w:rsidRDefault="009D72B1" w:rsidP="009D72B1">
      <w:pPr>
        <w:spacing w:before="100" w:beforeAutospacing="1" w:after="100" w:afterAutospacing="1"/>
        <w:ind w:left="566"/>
      </w:pPr>
      <w:r>
        <w:rPr>
          <w:rFonts w:ascii="標楷體" w:eastAsia="標楷體" w:hAnsi="標楷體" w:hint="eastAsia"/>
          <w:sz w:val="27"/>
          <w:szCs w:val="27"/>
        </w:rPr>
        <w:t>2.總分達85分以上者為同意票。</w:t>
      </w:r>
    </w:p>
    <w:p w:rsidR="009D72B1" w:rsidRDefault="009D72B1" w:rsidP="009D72B1">
      <w:pPr>
        <w:spacing w:before="100" w:beforeAutospacing="1" w:after="100" w:afterAutospacing="1"/>
        <w:ind w:left="566"/>
      </w:pPr>
      <w:r>
        <w:rPr>
          <w:rFonts w:ascii="標楷體" w:eastAsia="標楷體" w:hAnsi="標楷體" w:hint="eastAsia"/>
          <w:sz w:val="27"/>
          <w:szCs w:val="27"/>
        </w:rPr>
        <w:t>3.同意票達本會議出席人數三分之二以上者為通過。</w:t>
      </w:r>
    </w:p>
    <w:p w:rsidR="009D72B1" w:rsidRDefault="009D72B1" w:rsidP="009D72B1">
      <w:pPr>
        <w:spacing w:before="100" w:beforeAutospacing="1" w:after="100" w:afterAutospacing="1"/>
        <w:ind w:left="851" w:hanging="284"/>
      </w:pPr>
      <w:r>
        <w:rPr>
          <w:rFonts w:ascii="標楷體" w:eastAsia="標楷體" w:hAnsi="標楷體" w:hint="eastAsia"/>
          <w:sz w:val="27"/>
          <w:szCs w:val="27"/>
        </w:rPr>
        <w:t>4.待遇部分，</w:t>
      </w:r>
      <w:proofErr w:type="gramStart"/>
      <w:r>
        <w:rPr>
          <w:rFonts w:ascii="標楷體" w:eastAsia="標楷體" w:hAnsi="標楷體" w:hint="eastAsia"/>
          <w:sz w:val="27"/>
          <w:szCs w:val="27"/>
        </w:rPr>
        <w:t>採</w:t>
      </w:r>
      <w:proofErr w:type="gramEnd"/>
      <w:r>
        <w:rPr>
          <w:rFonts w:ascii="標楷體" w:eastAsia="標楷體" w:hAnsi="標楷體" w:hint="eastAsia"/>
          <w:sz w:val="27"/>
          <w:szCs w:val="27"/>
        </w:rPr>
        <w:t>逐案討論，由委員個別於待遇建議表上勾選額度，再將委員建議結果統計，</w:t>
      </w:r>
      <w:proofErr w:type="gramStart"/>
      <w:r>
        <w:rPr>
          <w:rFonts w:ascii="標楷體" w:eastAsia="標楷體" w:hAnsi="標楷體" w:hint="eastAsia"/>
          <w:sz w:val="27"/>
          <w:szCs w:val="27"/>
        </w:rPr>
        <w:t>由勾選</w:t>
      </w:r>
      <w:proofErr w:type="gramEnd"/>
      <w:r>
        <w:rPr>
          <w:rFonts w:ascii="標楷體" w:eastAsia="標楷體" w:hAnsi="標楷體" w:hint="eastAsia"/>
          <w:sz w:val="27"/>
          <w:szCs w:val="27"/>
        </w:rPr>
        <w:t>待遇高</w:t>
      </w:r>
      <w:proofErr w:type="gramStart"/>
      <w:r>
        <w:rPr>
          <w:rFonts w:ascii="標楷體" w:eastAsia="標楷體" w:hAnsi="標楷體" w:hint="eastAsia"/>
          <w:sz w:val="27"/>
          <w:szCs w:val="27"/>
        </w:rPr>
        <w:t>者向低者</w:t>
      </w:r>
      <w:proofErr w:type="gramEnd"/>
      <w:r>
        <w:rPr>
          <w:rFonts w:ascii="標楷體" w:eastAsia="標楷體" w:hAnsi="標楷體" w:hint="eastAsia"/>
          <w:sz w:val="27"/>
          <w:szCs w:val="27"/>
        </w:rPr>
        <w:t>累計至達出席表決委員人數半數以上之額度為待遇核發標準。</w:t>
      </w:r>
    </w:p>
    <w:p w:rsidR="009D72B1" w:rsidRDefault="009D72B1" w:rsidP="009D72B1">
      <w:pPr>
        <w:spacing w:before="100" w:beforeAutospacing="1" w:after="100" w:afterAutospacing="1"/>
        <w:jc w:val="both"/>
      </w:pPr>
      <w:r>
        <w:rPr>
          <w:rFonts w:ascii="標楷體" w:eastAsia="標楷體" w:hAnsi="標楷體" w:hint="eastAsia"/>
          <w:sz w:val="27"/>
          <w:szCs w:val="27"/>
        </w:rPr>
        <w:t>參、人事室報告：（略）</w:t>
      </w:r>
    </w:p>
    <w:p w:rsidR="009D72B1" w:rsidRDefault="009D72B1" w:rsidP="009D72B1">
      <w:pPr>
        <w:spacing w:before="180" w:after="100" w:afterAutospacing="1" w:line="300" w:lineRule="atLeast"/>
        <w:jc w:val="both"/>
      </w:pPr>
      <w:r>
        <w:rPr>
          <w:rFonts w:ascii="標楷體" w:eastAsia="標楷體" w:hAnsi="標楷體" w:hint="eastAsia"/>
          <w:sz w:val="27"/>
          <w:szCs w:val="27"/>
        </w:rPr>
        <w:t>肆、討論事項</w:t>
      </w:r>
    </w:p>
    <w:p w:rsidR="009D72B1" w:rsidRDefault="009D72B1" w:rsidP="009D72B1">
      <w:pPr>
        <w:spacing w:before="180" w:line="300" w:lineRule="atLeast"/>
        <w:ind w:left="1053" w:hanging="1053"/>
        <w:jc w:val="both"/>
      </w:pPr>
      <w:r>
        <w:rPr>
          <w:rFonts w:ascii="標楷體" w:eastAsia="標楷體" w:hAnsi="標楷體" w:hint="eastAsia"/>
          <w:sz w:val="27"/>
          <w:szCs w:val="27"/>
        </w:rPr>
        <w:t>案由</w:t>
      </w:r>
      <w:proofErr w:type="gramStart"/>
      <w:r>
        <w:rPr>
          <w:rFonts w:ascii="標楷體" w:eastAsia="標楷體" w:hAnsi="標楷體" w:hint="eastAsia"/>
          <w:sz w:val="27"/>
          <w:szCs w:val="27"/>
        </w:rPr>
        <w:t>一</w:t>
      </w:r>
      <w:proofErr w:type="gramEnd"/>
      <w:r>
        <w:rPr>
          <w:rFonts w:ascii="標楷體" w:eastAsia="標楷體" w:hAnsi="標楷體" w:hint="eastAsia"/>
          <w:sz w:val="27"/>
          <w:szCs w:val="27"/>
        </w:rPr>
        <w:t>：審議工學院材料工程學系李正中講座教授講座費用之彈性薪資及支給方式乙案，請  討論。</w:t>
      </w:r>
    </w:p>
    <w:p w:rsidR="009D72B1" w:rsidRDefault="009D72B1" w:rsidP="009D72B1">
      <w:pPr>
        <w:spacing w:before="100" w:beforeAutospacing="1" w:after="100" w:afterAutospacing="1"/>
        <w:ind w:left="1274" w:hanging="1274"/>
      </w:pPr>
      <w:r>
        <w:rPr>
          <w:rFonts w:ascii="標楷體" w:eastAsia="標楷體" w:hAnsi="標楷體" w:hint="eastAsia"/>
          <w:sz w:val="27"/>
          <w:szCs w:val="27"/>
        </w:rPr>
        <w:t>決    議：講座待遇每月支給新臺幣3萬元，並視實際授課時數之比例</w:t>
      </w:r>
      <w:proofErr w:type="gramStart"/>
      <w:r>
        <w:rPr>
          <w:rFonts w:ascii="標楷體" w:eastAsia="標楷體" w:hAnsi="標楷體" w:hint="eastAsia"/>
          <w:sz w:val="27"/>
          <w:szCs w:val="27"/>
        </w:rPr>
        <w:t>覈</w:t>
      </w:r>
      <w:proofErr w:type="gramEnd"/>
      <w:r>
        <w:rPr>
          <w:rFonts w:ascii="標楷體" w:eastAsia="標楷體" w:hAnsi="標楷體" w:hint="eastAsia"/>
          <w:sz w:val="27"/>
          <w:szCs w:val="27"/>
        </w:rPr>
        <w:t>實支給講座加給。</w:t>
      </w:r>
    </w:p>
    <w:p w:rsidR="009D72B1" w:rsidRDefault="009D72B1" w:rsidP="009D72B1">
      <w:pPr>
        <w:spacing w:before="180" w:line="300" w:lineRule="atLeast"/>
        <w:ind w:left="1053" w:hanging="1053"/>
        <w:jc w:val="both"/>
      </w:pPr>
      <w:r>
        <w:rPr>
          <w:rFonts w:ascii="標楷體" w:eastAsia="標楷體" w:hAnsi="標楷體" w:hint="eastAsia"/>
          <w:sz w:val="27"/>
          <w:szCs w:val="27"/>
        </w:rPr>
        <w:t xml:space="preserve">   </w:t>
      </w:r>
    </w:p>
    <w:p w:rsidR="009D72B1" w:rsidRDefault="009D72B1" w:rsidP="009D72B1">
      <w:pPr>
        <w:spacing w:before="180" w:line="300" w:lineRule="atLeast"/>
        <w:ind w:left="1053" w:hanging="1053"/>
        <w:jc w:val="both"/>
      </w:pPr>
      <w:r>
        <w:rPr>
          <w:rFonts w:ascii="標楷體" w:eastAsia="標楷體" w:hAnsi="標楷體" w:hint="eastAsia"/>
          <w:sz w:val="27"/>
          <w:szCs w:val="27"/>
        </w:rPr>
        <w:t>案由二：審議本校101年1月1日及101年2月1日起聘之專任講座教授及兼任、特約講座教授案，請  討論(通過名冊如下)。</w:t>
      </w:r>
    </w:p>
    <w:tbl>
      <w:tblPr>
        <w:tblW w:w="0" w:type="auto"/>
        <w:tblInd w:w="454" w:type="dxa"/>
        <w:tblCellMar>
          <w:left w:w="0" w:type="dxa"/>
          <w:right w:w="0" w:type="dxa"/>
        </w:tblCellMar>
        <w:tblLook w:val="04A0" w:firstRow="1" w:lastRow="0" w:firstColumn="1" w:lastColumn="0" w:noHBand="0" w:noVBand="1"/>
      </w:tblPr>
      <w:tblGrid>
        <w:gridCol w:w="708"/>
        <w:gridCol w:w="126"/>
        <w:gridCol w:w="1717"/>
        <w:gridCol w:w="1985"/>
        <w:gridCol w:w="1845"/>
        <w:gridCol w:w="1425"/>
        <w:gridCol w:w="1500"/>
      </w:tblGrid>
      <w:tr w:rsidR="009D72B1" w:rsidTr="009D72B1">
        <w:trPr>
          <w:cantSplit/>
          <w:trHeight w:val="751"/>
        </w:trPr>
        <w:tc>
          <w:tcPr>
            <w:tcW w:w="9294" w:type="dxa"/>
            <w:gridSpan w:val="7"/>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9D72B1" w:rsidRDefault="009D72B1">
            <w:pPr>
              <w:snapToGrid w:val="0"/>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sz w:val="32"/>
                <w:szCs w:val="32"/>
              </w:rPr>
              <w:lastRenderedPageBreak/>
              <w:t>國立中興大學101年1月1日或同年2月1日起聘之講座教授名冊</w:t>
            </w:r>
          </w:p>
        </w:tc>
      </w:tr>
      <w:tr w:rsidR="009D72B1" w:rsidTr="009D72B1">
        <w:trPr>
          <w:cantSplit/>
          <w:trHeight w:val="593"/>
        </w:trPr>
        <w:tc>
          <w:tcPr>
            <w:tcW w:w="9294" w:type="dxa"/>
            <w:gridSpan w:val="7"/>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both"/>
              <w:rPr>
                <w:rFonts w:ascii="新細明體" w:eastAsia="新細明體" w:hAnsi="新細明體" w:cs="新細明體"/>
                <w:szCs w:val="24"/>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)專任講座教授</w:t>
            </w:r>
          </w:p>
        </w:tc>
      </w:tr>
      <w:tr w:rsidR="009D72B1" w:rsidTr="009D72B1">
        <w:trPr>
          <w:cantSplit/>
          <w:trHeight w:val="733"/>
        </w:trPr>
        <w:tc>
          <w:tcPr>
            <w:tcW w:w="708"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hAnsi="新細明體" w:cs="新細明體"/>
                <w:szCs w:val="24"/>
              </w:rPr>
            </w:pPr>
            <w:r>
              <w:rPr>
                <w:rFonts w:ascii="標楷體" w:eastAsia="標楷體" w:hAnsi="標楷體" w:hint="eastAsia"/>
                <w:sz w:val="28"/>
                <w:szCs w:val="28"/>
              </w:rPr>
              <w:t>編</w:t>
            </w:r>
          </w:p>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z w:val="28"/>
                <w:szCs w:val="28"/>
              </w:rPr>
              <w:t>號</w:t>
            </w:r>
          </w:p>
        </w:tc>
        <w:tc>
          <w:tcPr>
            <w:tcW w:w="1843" w:type="dxa"/>
            <w:gridSpan w:val="2"/>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proofErr w:type="gramStart"/>
            <w:r>
              <w:rPr>
                <w:rFonts w:ascii="標楷體" w:eastAsia="標楷體" w:hAnsi="標楷體" w:hint="eastAsia"/>
                <w:sz w:val="32"/>
                <w:szCs w:val="32"/>
              </w:rPr>
              <w:t>院別</w:t>
            </w:r>
            <w:proofErr w:type="gramEnd"/>
          </w:p>
        </w:tc>
        <w:tc>
          <w:tcPr>
            <w:tcW w:w="198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proofErr w:type="gramStart"/>
            <w:r>
              <w:rPr>
                <w:rFonts w:ascii="標楷體" w:eastAsia="標楷體" w:hAnsi="標楷體" w:hint="eastAsia"/>
                <w:sz w:val="32"/>
                <w:szCs w:val="32"/>
              </w:rPr>
              <w:t>系所別</w:t>
            </w:r>
            <w:proofErr w:type="gramEnd"/>
          </w:p>
        </w:tc>
        <w:tc>
          <w:tcPr>
            <w:tcW w:w="1842"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z w:val="32"/>
                <w:szCs w:val="32"/>
              </w:rPr>
              <w:t>姓  名</w:t>
            </w:r>
          </w:p>
        </w:tc>
        <w:tc>
          <w:tcPr>
            <w:tcW w:w="141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z w:val="28"/>
                <w:szCs w:val="28"/>
              </w:rPr>
              <w:t>擬聘講座等級</w:t>
            </w:r>
          </w:p>
        </w:tc>
        <w:tc>
          <w:tcPr>
            <w:tcW w:w="149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z w:val="28"/>
                <w:szCs w:val="28"/>
              </w:rPr>
              <w:t>聘期</w:t>
            </w:r>
          </w:p>
        </w:tc>
      </w:tr>
      <w:tr w:rsidR="009D72B1" w:rsidTr="009D72B1">
        <w:trPr>
          <w:cantSplit/>
          <w:trHeight w:val="851"/>
        </w:trPr>
        <w:tc>
          <w:tcPr>
            <w:tcW w:w="708"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sz w:val="22"/>
              </w:rPr>
              <w:t>1</w:t>
            </w:r>
          </w:p>
        </w:tc>
        <w:tc>
          <w:tcPr>
            <w:tcW w:w="1843" w:type="dxa"/>
            <w:gridSpan w:val="2"/>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sz w:val="28"/>
                <w:szCs w:val="28"/>
              </w:rPr>
              <w:t>農業暨自然資源學院</w:t>
            </w:r>
          </w:p>
        </w:tc>
        <w:tc>
          <w:tcPr>
            <w:tcW w:w="198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sz w:val="28"/>
                <w:szCs w:val="28"/>
              </w:rPr>
              <w:t>植物病理學系</w:t>
            </w:r>
          </w:p>
        </w:tc>
        <w:tc>
          <w:tcPr>
            <w:tcW w:w="1842"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hyperlink r:id="rId5" w:history="1">
              <w:r>
                <w:rPr>
                  <w:rStyle w:val="a4"/>
                  <w:rFonts w:ascii="標楷體" w:eastAsia="標楷體" w:hAnsi="標楷體" w:hint="eastAsia"/>
                  <w:b/>
                  <w:bCs/>
                  <w:sz w:val="28"/>
                  <w:szCs w:val="28"/>
                </w:rPr>
                <w:t>柯文雄</w:t>
              </w:r>
            </w:hyperlink>
          </w:p>
        </w:tc>
        <w:tc>
          <w:tcPr>
            <w:tcW w:w="141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pacing w:val="-20"/>
                <w:sz w:val="28"/>
                <w:szCs w:val="28"/>
              </w:rPr>
              <w:t>講座教授</w:t>
            </w:r>
          </w:p>
        </w:tc>
        <w:tc>
          <w:tcPr>
            <w:tcW w:w="149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pacing w:val="-20"/>
              </w:rPr>
              <w:t>自101年1月1日至103年12月31日止</w:t>
            </w:r>
          </w:p>
        </w:tc>
      </w:tr>
      <w:tr w:rsidR="009D72B1" w:rsidTr="009D72B1">
        <w:trPr>
          <w:cantSplit/>
          <w:trHeight w:val="851"/>
        </w:trPr>
        <w:tc>
          <w:tcPr>
            <w:tcW w:w="708"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sz w:val="22"/>
              </w:rPr>
              <w:t>2</w:t>
            </w:r>
          </w:p>
        </w:tc>
        <w:tc>
          <w:tcPr>
            <w:tcW w:w="1843" w:type="dxa"/>
            <w:gridSpan w:val="2"/>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sz w:val="28"/>
                <w:szCs w:val="28"/>
              </w:rPr>
              <w:t>理學院</w:t>
            </w:r>
          </w:p>
        </w:tc>
        <w:tc>
          <w:tcPr>
            <w:tcW w:w="198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sz w:val="28"/>
                <w:szCs w:val="28"/>
              </w:rPr>
              <w:t>資訊科學與工程學系</w:t>
            </w:r>
          </w:p>
        </w:tc>
        <w:tc>
          <w:tcPr>
            <w:tcW w:w="1842"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hyperlink r:id="rId6" w:history="1">
              <w:r>
                <w:rPr>
                  <w:rStyle w:val="a4"/>
                  <w:rFonts w:ascii="標楷體" w:eastAsia="標楷體" w:hAnsi="標楷體" w:hint="eastAsia"/>
                  <w:b/>
                  <w:bCs/>
                  <w:sz w:val="28"/>
                  <w:szCs w:val="28"/>
                </w:rPr>
                <w:t>李德財</w:t>
              </w:r>
            </w:hyperlink>
          </w:p>
        </w:tc>
        <w:tc>
          <w:tcPr>
            <w:tcW w:w="141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pacing w:val="-20"/>
                <w:sz w:val="28"/>
                <w:szCs w:val="28"/>
              </w:rPr>
              <w:t>特聘講座</w:t>
            </w:r>
          </w:p>
        </w:tc>
        <w:tc>
          <w:tcPr>
            <w:tcW w:w="149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pacing w:val="-20"/>
              </w:rPr>
              <w:t>自101年2月1日至104年1月31日止</w:t>
            </w:r>
          </w:p>
        </w:tc>
      </w:tr>
      <w:tr w:rsidR="009D72B1" w:rsidTr="009D72B1">
        <w:trPr>
          <w:cantSplit/>
          <w:trHeight w:val="623"/>
        </w:trPr>
        <w:tc>
          <w:tcPr>
            <w:tcW w:w="9294" w:type="dxa"/>
            <w:gridSpan w:val="7"/>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both"/>
              <w:rPr>
                <w:rFonts w:ascii="新細明體" w:eastAsia="新細明體" w:hAnsi="新細明體" w:cs="新細明體"/>
                <w:szCs w:val="24"/>
              </w:rPr>
            </w:pPr>
            <w:r>
              <w:rPr>
                <w:rFonts w:ascii="標楷體" w:eastAsia="標楷體" w:hAnsi="標楷體" w:hint="eastAsia"/>
                <w:sz w:val="32"/>
                <w:szCs w:val="32"/>
              </w:rPr>
              <w:t>(二)兼任、特約講座教授</w:t>
            </w:r>
          </w:p>
        </w:tc>
      </w:tr>
      <w:tr w:rsidR="009D72B1" w:rsidTr="009D72B1">
        <w:trPr>
          <w:cantSplit/>
          <w:trHeight w:val="767"/>
        </w:trPr>
        <w:tc>
          <w:tcPr>
            <w:tcW w:w="834" w:type="dxa"/>
            <w:gridSpan w:val="2"/>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hAnsi="新細明體" w:cs="新細明體"/>
                <w:szCs w:val="24"/>
              </w:rPr>
            </w:pPr>
            <w:r>
              <w:rPr>
                <w:rFonts w:ascii="標楷體" w:eastAsia="標楷體" w:hAnsi="標楷體" w:hint="eastAsia"/>
                <w:b/>
                <w:bCs/>
                <w:sz w:val="26"/>
                <w:szCs w:val="26"/>
              </w:rPr>
              <w:t>編</w:t>
            </w:r>
          </w:p>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sz w:val="26"/>
                <w:szCs w:val="26"/>
              </w:rPr>
              <w:t>號</w:t>
            </w:r>
          </w:p>
        </w:tc>
        <w:tc>
          <w:tcPr>
            <w:tcW w:w="1717"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proofErr w:type="gramStart"/>
            <w:r>
              <w:rPr>
                <w:rFonts w:ascii="標楷體" w:eastAsia="標楷體" w:hAnsi="標楷體" w:hint="eastAsia"/>
                <w:sz w:val="32"/>
                <w:szCs w:val="32"/>
              </w:rPr>
              <w:t>院別</w:t>
            </w:r>
            <w:proofErr w:type="gramEnd"/>
          </w:p>
        </w:tc>
        <w:tc>
          <w:tcPr>
            <w:tcW w:w="198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proofErr w:type="gramStart"/>
            <w:r>
              <w:rPr>
                <w:rFonts w:ascii="標楷體" w:eastAsia="標楷體" w:hAnsi="標楷體" w:hint="eastAsia"/>
                <w:sz w:val="32"/>
                <w:szCs w:val="32"/>
              </w:rPr>
              <w:t>系所別</w:t>
            </w:r>
            <w:proofErr w:type="gramEnd"/>
          </w:p>
        </w:tc>
        <w:tc>
          <w:tcPr>
            <w:tcW w:w="1842"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z w:val="32"/>
                <w:szCs w:val="32"/>
              </w:rPr>
              <w:t>姓  名</w:t>
            </w:r>
          </w:p>
        </w:tc>
        <w:tc>
          <w:tcPr>
            <w:tcW w:w="141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z w:val="28"/>
                <w:szCs w:val="28"/>
              </w:rPr>
              <w:t>擬聘講座等級</w:t>
            </w:r>
          </w:p>
        </w:tc>
        <w:tc>
          <w:tcPr>
            <w:tcW w:w="149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z w:val="28"/>
                <w:szCs w:val="28"/>
              </w:rPr>
              <w:t>聘期</w:t>
            </w:r>
          </w:p>
        </w:tc>
      </w:tr>
      <w:tr w:rsidR="009D72B1" w:rsidTr="009D72B1">
        <w:trPr>
          <w:cantSplit/>
          <w:trHeight w:val="735"/>
        </w:trPr>
        <w:tc>
          <w:tcPr>
            <w:tcW w:w="834" w:type="dxa"/>
            <w:gridSpan w:val="2"/>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sz w:val="22"/>
              </w:rPr>
              <w:t>1</w:t>
            </w:r>
          </w:p>
        </w:tc>
        <w:tc>
          <w:tcPr>
            <w:tcW w:w="1717"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sz w:val="28"/>
                <w:szCs w:val="28"/>
              </w:rPr>
              <w:t>農業暨自然資源學院</w:t>
            </w:r>
          </w:p>
        </w:tc>
        <w:tc>
          <w:tcPr>
            <w:tcW w:w="198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sz w:val="28"/>
                <w:szCs w:val="28"/>
              </w:rPr>
              <w:t>園藝學系</w:t>
            </w:r>
          </w:p>
        </w:tc>
        <w:tc>
          <w:tcPr>
            <w:tcW w:w="1842"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hyperlink r:id="rId7" w:history="1">
              <w:r>
                <w:rPr>
                  <w:rStyle w:val="a4"/>
                  <w:rFonts w:ascii="標楷體" w:eastAsia="標楷體" w:hAnsi="標楷體" w:hint="eastAsia"/>
                  <w:b/>
                  <w:bCs/>
                  <w:sz w:val="28"/>
                  <w:szCs w:val="28"/>
                </w:rPr>
                <w:t>李金龍</w:t>
              </w:r>
            </w:hyperlink>
          </w:p>
        </w:tc>
        <w:tc>
          <w:tcPr>
            <w:tcW w:w="141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pacing w:val="-20"/>
                <w:sz w:val="28"/>
                <w:szCs w:val="28"/>
              </w:rPr>
              <w:t>講座教授</w:t>
            </w:r>
          </w:p>
        </w:tc>
        <w:tc>
          <w:tcPr>
            <w:tcW w:w="149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pacing w:val="-20"/>
              </w:rPr>
              <w:t>自101年1月1日至103年12月31日止</w:t>
            </w:r>
          </w:p>
        </w:tc>
      </w:tr>
      <w:tr w:rsidR="009D72B1" w:rsidTr="009D72B1">
        <w:trPr>
          <w:cantSplit/>
          <w:trHeight w:val="735"/>
        </w:trPr>
        <w:tc>
          <w:tcPr>
            <w:tcW w:w="834" w:type="dxa"/>
            <w:gridSpan w:val="2"/>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sz w:val="22"/>
              </w:rPr>
              <w:t>2</w:t>
            </w:r>
          </w:p>
        </w:tc>
        <w:tc>
          <w:tcPr>
            <w:tcW w:w="1717"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sz w:val="28"/>
                <w:szCs w:val="28"/>
              </w:rPr>
              <w:t>管理學院</w:t>
            </w:r>
          </w:p>
        </w:tc>
        <w:tc>
          <w:tcPr>
            <w:tcW w:w="198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sz w:val="28"/>
                <w:szCs w:val="28"/>
              </w:rPr>
              <w:t>財務金融學系</w:t>
            </w:r>
          </w:p>
        </w:tc>
        <w:tc>
          <w:tcPr>
            <w:tcW w:w="1842"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hyperlink r:id="rId8" w:history="1">
              <w:proofErr w:type="gramStart"/>
              <w:r>
                <w:rPr>
                  <w:rStyle w:val="a4"/>
                  <w:rFonts w:ascii="標楷體" w:eastAsia="標楷體" w:hAnsi="標楷體" w:hint="eastAsia"/>
                  <w:b/>
                  <w:bCs/>
                  <w:sz w:val="28"/>
                  <w:szCs w:val="28"/>
                </w:rPr>
                <w:t>姜</w:t>
              </w:r>
              <w:proofErr w:type="gramEnd"/>
              <w:r>
                <w:rPr>
                  <w:rStyle w:val="a4"/>
                  <w:rFonts w:ascii="標楷體" w:eastAsia="標楷體" w:hAnsi="標楷體" w:hint="eastAsia"/>
                  <w:b/>
                  <w:bCs/>
                  <w:sz w:val="28"/>
                  <w:szCs w:val="28"/>
                </w:rPr>
                <w:t>寄南</w:t>
              </w:r>
            </w:hyperlink>
          </w:p>
        </w:tc>
        <w:tc>
          <w:tcPr>
            <w:tcW w:w="141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pacing w:val="-20"/>
                <w:sz w:val="28"/>
                <w:szCs w:val="28"/>
              </w:rPr>
              <w:t>講座教授</w:t>
            </w:r>
          </w:p>
        </w:tc>
        <w:tc>
          <w:tcPr>
            <w:tcW w:w="1498"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9D72B1" w:rsidRDefault="009D72B1">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spacing w:val="-20"/>
              </w:rPr>
              <w:t>自101年2月1日至104年1月31日止</w:t>
            </w:r>
          </w:p>
        </w:tc>
      </w:tr>
      <w:tr w:rsidR="009D72B1" w:rsidTr="009D72B1">
        <w:tc>
          <w:tcPr>
            <w:tcW w:w="705" w:type="dxa"/>
            <w:tcBorders>
              <w:top w:val="nil"/>
              <w:left w:val="nil"/>
              <w:bottom w:val="nil"/>
              <w:right w:val="nil"/>
            </w:tcBorders>
            <w:vAlign w:val="center"/>
            <w:hideMark/>
          </w:tcPr>
          <w:p w:rsidR="009D72B1" w:rsidRDefault="009D72B1">
            <w:pPr>
              <w:rPr>
                <w:rFonts w:ascii="Times New Roman" w:eastAsia="新細明體" w:hAnsi="Times New Roman" w:cs="Times New Roman"/>
                <w:sz w:val="20"/>
                <w:szCs w:val="20"/>
              </w:rPr>
            </w:pPr>
            <w:r>
              <w:rPr>
                <w:rFonts w:ascii="Times New Roman" w:hAnsi="Times New Roman" w:cs="Times New Roman"/>
                <w:sz w:val="20"/>
                <w:szCs w:val="20"/>
              </w:rPr>
              <w:t xml:space="preserve">　</w:t>
            </w:r>
          </w:p>
        </w:tc>
        <w:tc>
          <w:tcPr>
            <w:tcW w:w="120" w:type="dxa"/>
            <w:tcBorders>
              <w:top w:val="nil"/>
              <w:left w:val="nil"/>
              <w:bottom w:val="nil"/>
              <w:right w:val="nil"/>
            </w:tcBorders>
            <w:vAlign w:val="center"/>
            <w:hideMark/>
          </w:tcPr>
          <w:p w:rsidR="009D72B1" w:rsidRDefault="009D72B1">
            <w:pPr>
              <w:rPr>
                <w:rFonts w:ascii="Times New Roman" w:eastAsia="新細明體" w:hAnsi="Times New Roman" w:cs="Times New Roman"/>
                <w:sz w:val="20"/>
                <w:szCs w:val="20"/>
              </w:rPr>
            </w:pPr>
            <w:r>
              <w:rPr>
                <w:rFonts w:ascii="Times New Roman" w:hAnsi="Times New Roman" w:cs="Times New Roman"/>
                <w:sz w:val="20"/>
                <w:szCs w:val="20"/>
              </w:rPr>
              <w:t xml:space="preserve">　</w:t>
            </w:r>
          </w:p>
        </w:tc>
        <w:tc>
          <w:tcPr>
            <w:tcW w:w="1710" w:type="dxa"/>
            <w:tcBorders>
              <w:top w:val="nil"/>
              <w:left w:val="nil"/>
              <w:bottom w:val="nil"/>
              <w:right w:val="nil"/>
            </w:tcBorders>
            <w:vAlign w:val="center"/>
            <w:hideMark/>
          </w:tcPr>
          <w:p w:rsidR="009D72B1" w:rsidRDefault="009D72B1">
            <w:pPr>
              <w:rPr>
                <w:rFonts w:ascii="Times New Roman" w:eastAsia="新細明體" w:hAnsi="Times New Roman" w:cs="Times New Roman"/>
                <w:sz w:val="20"/>
                <w:szCs w:val="20"/>
              </w:rPr>
            </w:pPr>
            <w:r>
              <w:rPr>
                <w:rFonts w:ascii="Times New Roman" w:hAnsi="Times New Roman" w:cs="Times New Roman"/>
                <w:sz w:val="20"/>
                <w:szCs w:val="20"/>
              </w:rPr>
              <w:t xml:space="preserve">　</w:t>
            </w:r>
          </w:p>
        </w:tc>
        <w:tc>
          <w:tcPr>
            <w:tcW w:w="1980" w:type="dxa"/>
            <w:tcBorders>
              <w:top w:val="nil"/>
              <w:left w:val="nil"/>
              <w:bottom w:val="nil"/>
              <w:right w:val="nil"/>
            </w:tcBorders>
            <w:vAlign w:val="center"/>
            <w:hideMark/>
          </w:tcPr>
          <w:p w:rsidR="009D72B1" w:rsidRDefault="009D72B1">
            <w:pPr>
              <w:rPr>
                <w:rFonts w:ascii="Times New Roman" w:eastAsia="新細明體" w:hAnsi="Times New Roman" w:cs="Times New Roman"/>
                <w:sz w:val="20"/>
                <w:szCs w:val="20"/>
              </w:rPr>
            </w:pPr>
            <w:r>
              <w:rPr>
                <w:rFonts w:ascii="Times New Roman" w:hAnsi="Times New Roman" w:cs="Times New Roman"/>
                <w:sz w:val="20"/>
                <w:szCs w:val="20"/>
              </w:rPr>
              <w:t xml:space="preserve">　</w:t>
            </w:r>
          </w:p>
        </w:tc>
        <w:tc>
          <w:tcPr>
            <w:tcW w:w="1845" w:type="dxa"/>
            <w:tcBorders>
              <w:top w:val="nil"/>
              <w:left w:val="nil"/>
              <w:bottom w:val="nil"/>
              <w:right w:val="nil"/>
            </w:tcBorders>
            <w:vAlign w:val="center"/>
            <w:hideMark/>
          </w:tcPr>
          <w:p w:rsidR="009D72B1" w:rsidRDefault="009D72B1">
            <w:pPr>
              <w:rPr>
                <w:rFonts w:ascii="Times New Roman" w:eastAsia="新細明體" w:hAnsi="Times New Roman" w:cs="Times New Roman"/>
                <w:sz w:val="20"/>
                <w:szCs w:val="20"/>
              </w:rPr>
            </w:pPr>
            <w:r>
              <w:rPr>
                <w:rFonts w:ascii="Times New Roman" w:hAnsi="Times New Roman" w:cs="Times New Roman"/>
                <w:sz w:val="20"/>
                <w:szCs w:val="20"/>
              </w:rPr>
              <w:t xml:space="preserve">　</w:t>
            </w:r>
          </w:p>
        </w:tc>
        <w:tc>
          <w:tcPr>
            <w:tcW w:w="1425" w:type="dxa"/>
            <w:tcBorders>
              <w:top w:val="nil"/>
              <w:left w:val="nil"/>
              <w:bottom w:val="nil"/>
              <w:right w:val="nil"/>
            </w:tcBorders>
            <w:vAlign w:val="center"/>
            <w:hideMark/>
          </w:tcPr>
          <w:p w:rsidR="009D72B1" w:rsidRDefault="009D72B1">
            <w:pPr>
              <w:rPr>
                <w:rFonts w:ascii="Times New Roman" w:eastAsia="新細明體" w:hAnsi="Times New Roman" w:cs="Times New Roman"/>
                <w:sz w:val="20"/>
                <w:szCs w:val="20"/>
              </w:rPr>
            </w:pPr>
            <w:r>
              <w:rPr>
                <w:rFonts w:ascii="Times New Roman" w:hAnsi="Times New Roman" w:cs="Times New Roman"/>
                <w:sz w:val="20"/>
                <w:szCs w:val="20"/>
              </w:rPr>
              <w:t xml:space="preserve">　</w:t>
            </w:r>
          </w:p>
        </w:tc>
        <w:tc>
          <w:tcPr>
            <w:tcW w:w="1500" w:type="dxa"/>
            <w:tcBorders>
              <w:top w:val="nil"/>
              <w:left w:val="nil"/>
              <w:bottom w:val="nil"/>
              <w:right w:val="nil"/>
            </w:tcBorders>
            <w:vAlign w:val="center"/>
            <w:hideMark/>
          </w:tcPr>
          <w:p w:rsidR="009D72B1" w:rsidRDefault="009D72B1">
            <w:pPr>
              <w:rPr>
                <w:rFonts w:ascii="Times New Roman" w:eastAsia="新細明體" w:hAnsi="Times New Roman" w:cs="Times New Roman"/>
                <w:sz w:val="20"/>
                <w:szCs w:val="20"/>
              </w:rPr>
            </w:pPr>
            <w:r>
              <w:rPr>
                <w:rFonts w:ascii="Times New Roman" w:hAnsi="Times New Roman" w:cs="Times New Roman"/>
                <w:sz w:val="20"/>
                <w:szCs w:val="20"/>
              </w:rPr>
              <w:t xml:space="preserve">　</w:t>
            </w:r>
          </w:p>
        </w:tc>
      </w:tr>
    </w:tbl>
    <w:p w:rsidR="009D72B1" w:rsidRDefault="009D72B1" w:rsidP="009D72B1">
      <w:pPr>
        <w:spacing w:before="180" w:after="100" w:afterAutospacing="1" w:line="300" w:lineRule="atLeast"/>
        <w:jc w:val="both"/>
      </w:pPr>
      <w:r>
        <w:rPr>
          <w:rFonts w:ascii="標楷體" w:eastAsia="標楷體" w:hAnsi="標楷體" w:hint="eastAsia"/>
          <w:sz w:val="26"/>
          <w:szCs w:val="26"/>
        </w:rPr>
        <w:t> </w:t>
      </w:r>
    </w:p>
    <w:p w:rsidR="009D72B1" w:rsidRDefault="009D72B1" w:rsidP="009D72B1">
      <w:pPr>
        <w:spacing w:before="180" w:after="100" w:afterAutospacing="1" w:line="300" w:lineRule="atLeast"/>
        <w:jc w:val="both"/>
      </w:pPr>
      <w:r>
        <w:rPr>
          <w:rFonts w:ascii="標楷體" w:eastAsia="標楷體" w:hAnsi="標楷體" w:hint="eastAsia"/>
          <w:sz w:val="26"/>
          <w:szCs w:val="26"/>
        </w:rPr>
        <w:t>伍、臨時動議：</w:t>
      </w:r>
    </w:p>
    <w:p w:rsidR="009D72B1" w:rsidRDefault="009D72B1" w:rsidP="009D72B1">
      <w:pPr>
        <w:spacing w:before="180" w:line="300" w:lineRule="atLeast"/>
        <w:ind w:left="1708" w:hanging="1170"/>
        <w:jc w:val="both"/>
      </w:pPr>
      <w:r>
        <w:rPr>
          <w:rFonts w:ascii="標楷體" w:eastAsia="標楷體" w:hAnsi="標楷體" w:hint="eastAsia"/>
          <w:sz w:val="26"/>
          <w:szCs w:val="26"/>
        </w:rPr>
        <w:t>人事室：有關講座教授申請案，經審議未通過者，以往並未通知當事人，是否有必要附加理由通知當事人。</w:t>
      </w:r>
    </w:p>
    <w:p w:rsidR="009D72B1" w:rsidRDefault="009D72B1" w:rsidP="009D72B1">
      <w:pPr>
        <w:spacing w:before="180" w:line="300" w:lineRule="atLeast"/>
        <w:ind w:left="1708" w:hanging="1170"/>
        <w:jc w:val="both"/>
      </w:pPr>
      <w:r>
        <w:rPr>
          <w:rFonts w:ascii="標楷體" w:eastAsia="標楷體" w:hAnsi="標楷體" w:hint="eastAsia"/>
          <w:sz w:val="26"/>
          <w:szCs w:val="26"/>
        </w:rPr>
        <w:t>決　議：請以書面通知未通過申請案</w:t>
      </w:r>
      <w:proofErr w:type="gramStart"/>
      <w:r>
        <w:rPr>
          <w:rFonts w:ascii="標楷體" w:eastAsia="標楷體" w:hAnsi="標楷體" w:hint="eastAsia"/>
          <w:sz w:val="26"/>
          <w:szCs w:val="26"/>
        </w:rPr>
        <w:t>之提聘單位</w:t>
      </w:r>
      <w:proofErr w:type="gramEnd"/>
      <w:r>
        <w:rPr>
          <w:rFonts w:ascii="標楷體" w:eastAsia="標楷體" w:hAnsi="標楷體" w:hint="eastAsia"/>
          <w:sz w:val="26"/>
          <w:szCs w:val="26"/>
        </w:rPr>
        <w:t>，轉知申請人審議結果為不通過。</w:t>
      </w:r>
    </w:p>
    <w:p w:rsidR="009D72B1" w:rsidRDefault="009D72B1" w:rsidP="009D72B1">
      <w:pPr>
        <w:spacing w:before="180" w:line="400" w:lineRule="atLeast"/>
        <w:ind w:right="-79"/>
        <w:jc w:val="both"/>
      </w:pPr>
      <w:r>
        <w:rPr>
          <w:rFonts w:ascii="標楷體" w:eastAsia="標楷體" w:hAnsi="標楷體" w:hint="eastAsia"/>
          <w:sz w:val="26"/>
          <w:szCs w:val="26"/>
        </w:rPr>
        <w:t>陸、散會：中午12時</w:t>
      </w:r>
    </w:p>
    <w:p w:rsidR="002368B5" w:rsidRPr="006D470B" w:rsidRDefault="002368B5"/>
    <w:sectPr w:rsidR="002368B5" w:rsidRPr="006D470B" w:rsidSect="003C079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華康唐風隸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1E"/>
    <w:rsid w:val="00084547"/>
    <w:rsid w:val="000A171E"/>
    <w:rsid w:val="001E1C7A"/>
    <w:rsid w:val="002368B5"/>
    <w:rsid w:val="003C079F"/>
    <w:rsid w:val="00512945"/>
    <w:rsid w:val="00564C1E"/>
    <w:rsid w:val="005F4334"/>
    <w:rsid w:val="006638FC"/>
    <w:rsid w:val="006D470B"/>
    <w:rsid w:val="00704A74"/>
    <w:rsid w:val="007F3D45"/>
    <w:rsid w:val="008F79A8"/>
    <w:rsid w:val="009D72B1"/>
    <w:rsid w:val="009D7E81"/>
    <w:rsid w:val="00B67302"/>
    <w:rsid w:val="00C7384C"/>
    <w:rsid w:val="00E3051B"/>
    <w:rsid w:val="00E35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512945"/>
    <w:rPr>
      <w:rFonts w:asciiTheme="majorHAnsi" w:eastAsia="華康唐風隸W5" w:hAnsiTheme="majorHAnsi" w:cstheme="majorBidi"/>
      <w:b/>
      <w:bCs/>
      <w:smallCaps w:val="0"/>
      <w:color w:val="4F81BD" w:themeColor="accent1"/>
      <w:spacing w:val="40"/>
      <w:sz w:val="32"/>
      <w:szCs w:val="32"/>
    </w:rPr>
  </w:style>
  <w:style w:type="paragraph" w:styleId="Web">
    <w:name w:val="Normal (Web)"/>
    <w:basedOn w:val="a"/>
    <w:uiPriority w:val="99"/>
    <w:unhideWhenUsed/>
    <w:rsid w:val="000A171E"/>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0A17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512945"/>
    <w:rPr>
      <w:rFonts w:asciiTheme="majorHAnsi" w:eastAsia="華康唐風隸W5" w:hAnsiTheme="majorHAnsi" w:cstheme="majorBidi"/>
      <w:b/>
      <w:bCs/>
      <w:smallCaps w:val="0"/>
      <w:color w:val="4F81BD" w:themeColor="accent1"/>
      <w:spacing w:val="40"/>
      <w:sz w:val="32"/>
      <w:szCs w:val="32"/>
    </w:rPr>
  </w:style>
  <w:style w:type="paragraph" w:styleId="Web">
    <w:name w:val="Normal (Web)"/>
    <w:basedOn w:val="a"/>
    <w:uiPriority w:val="99"/>
    <w:unhideWhenUsed/>
    <w:rsid w:val="000A171E"/>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0A1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586">
      <w:bodyDiv w:val="1"/>
      <w:marLeft w:val="0"/>
      <w:marRight w:val="0"/>
      <w:marTop w:val="0"/>
      <w:marBottom w:val="0"/>
      <w:divBdr>
        <w:top w:val="none" w:sz="0" w:space="0" w:color="auto"/>
        <w:left w:val="none" w:sz="0" w:space="0" w:color="auto"/>
        <w:bottom w:val="none" w:sz="0" w:space="0" w:color="auto"/>
        <w:right w:val="none" w:sz="0" w:space="0" w:color="auto"/>
      </w:divBdr>
    </w:div>
    <w:div w:id="780147146">
      <w:bodyDiv w:val="1"/>
      <w:marLeft w:val="0"/>
      <w:marRight w:val="0"/>
      <w:marTop w:val="0"/>
      <w:marBottom w:val="0"/>
      <w:divBdr>
        <w:top w:val="none" w:sz="0" w:space="0" w:color="auto"/>
        <w:left w:val="none" w:sz="0" w:space="0" w:color="auto"/>
        <w:bottom w:val="none" w:sz="0" w:space="0" w:color="auto"/>
        <w:right w:val="none" w:sz="0" w:space="0" w:color="auto"/>
      </w:divBdr>
    </w:div>
    <w:div w:id="926571014">
      <w:bodyDiv w:val="1"/>
      <w:marLeft w:val="0"/>
      <w:marRight w:val="0"/>
      <w:marTop w:val="0"/>
      <w:marBottom w:val="0"/>
      <w:divBdr>
        <w:top w:val="none" w:sz="0" w:space="0" w:color="auto"/>
        <w:left w:val="none" w:sz="0" w:space="0" w:color="auto"/>
        <w:bottom w:val="none" w:sz="0" w:space="0" w:color="auto"/>
        <w:right w:val="none" w:sz="0" w:space="0" w:color="auto"/>
      </w:divBdr>
    </w:div>
    <w:div w:id="1183862358">
      <w:bodyDiv w:val="1"/>
      <w:marLeft w:val="0"/>
      <w:marRight w:val="0"/>
      <w:marTop w:val="0"/>
      <w:marBottom w:val="0"/>
      <w:divBdr>
        <w:top w:val="none" w:sz="0" w:space="0" w:color="auto"/>
        <w:left w:val="none" w:sz="0" w:space="0" w:color="auto"/>
        <w:bottom w:val="none" w:sz="0" w:space="0" w:color="auto"/>
        <w:right w:val="none" w:sz="0" w:space="0" w:color="auto"/>
      </w:divBdr>
    </w:div>
    <w:div w:id="1202743267">
      <w:bodyDiv w:val="1"/>
      <w:marLeft w:val="0"/>
      <w:marRight w:val="0"/>
      <w:marTop w:val="0"/>
      <w:marBottom w:val="0"/>
      <w:divBdr>
        <w:top w:val="none" w:sz="0" w:space="0" w:color="auto"/>
        <w:left w:val="none" w:sz="0" w:space="0" w:color="auto"/>
        <w:bottom w:val="none" w:sz="0" w:space="0" w:color="auto"/>
        <w:right w:val="none" w:sz="0" w:space="0" w:color="auto"/>
      </w:divBdr>
    </w:div>
    <w:div w:id="21364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27861;&#35215;\&#23560;&#21312;\&#26371;&#35696;&#35352;&#37636;\&#19968;&#32068;\&#35611;&#24231;\1010220-6.doc" TargetMode="External"/><Relationship Id="rId3" Type="http://schemas.openxmlformats.org/officeDocument/2006/relationships/settings" Target="settings.xml"/><Relationship Id="rId7" Type="http://schemas.openxmlformats.org/officeDocument/2006/relationships/hyperlink" Target="file:///C:\Users\User\Desktop\&#27861;&#35215;\&#23560;&#21312;\&#26371;&#35696;&#35352;&#37636;\&#19968;&#32068;\&#35611;&#24231;\1010220-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esktop\&#27861;&#35215;\&#23560;&#21312;\&#26371;&#35696;&#35352;&#37636;\&#19968;&#32068;\&#35611;&#24231;\1010220-4.docx" TargetMode="External"/><Relationship Id="rId5" Type="http://schemas.openxmlformats.org/officeDocument/2006/relationships/hyperlink" Target="file:///C:\Users\User\Desktop\&#27861;&#35215;\&#23560;&#21312;\&#26371;&#35696;&#35352;&#37636;\&#19968;&#32068;\&#35611;&#24231;\1010220-3.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2017-05-16T08:05:00Z</dcterms:created>
  <dcterms:modified xsi:type="dcterms:W3CDTF">2017-05-16T08:05:00Z</dcterms:modified>
</cp:coreProperties>
</file>