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DB" w:rsidRPr="00FF7241" w:rsidRDefault="009121DB" w:rsidP="009121DB">
      <w:pPr>
        <w:autoSpaceDE w:val="0"/>
        <w:autoSpaceDN w:val="0"/>
        <w:adjustRightInd w:val="0"/>
        <w:snapToGrid w:val="0"/>
        <w:spacing w:line="400" w:lineRule="atLeast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FF7241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國立中興大學講座教授待遇審議要點</w:t>
      </w:r>
    </w:p>
    <w:p w:rsidR="009121DB" w:rsidRPr="00FF7241" w:rsidRDefault="009121DB" w:rsidP="009121DB">
      <w:pPr>
        <w:autoSpaceDE w:val="0"/>
        <w:autoSpaceDN w:val="0"/>
        <w:adjustRightInd w:val="0"/>
        <w:snapToGrid w:val="0"/>
        <w:spacing w:line="400" w:lineRule="atLeast"/>
        <w:jc w:val="both"/>
        <w:rPr>
          <w:rFonts w:ascii="標楷體" w:eastAsia="標楷體" w:hAnsi="標楷體" w:cs="DFKaiShu-Md-HK-BF"/>
          <w:kern w:val="0"/>
          <w:sz w:val="16"/>
          <w:szCs w:val="16"/>
        </w:rPr>
      </w:pPr>
    </w:p>
    <w:p w:rsidR="009121DB" w:rsidRPr="00FF7241" w:rsidRDefault="009121DB" w:rsidP="009121DB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Md-HK-BF"/>
          <w:kern w:val="0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2"/>
          <w:attr w:name="Year" w:val="1997"/>
        </w:smartTagPr>
        <w:r w:rsidRPr="00FF7241">
          <w:rPr>
            <w:rFonts w:ascii="標楷體" w:eastAsia="標楷體" w:hAnsi="標楷體" w:cs="DFKaiShu-Md-HK-BF" w:hint="eastAsia"/>
            <w:kern w:val="0"/>
            <w:sz w:val="20"/>
          </w:rPr>
          <w:t>97年12月25日</w:t>
        </w:r>
      </w:smartTag>
      <w:r w:rsidRPr="00FF7241">
        <w:rPr>
          <w:rFonts w:ascii="標楷體" w:eastAsia="標楷體" w:hAnsi="標楷體" w:cs="DFKaiShu-Md-HK-BF" w:hint="eastAsia"/>
          <w:kern w:val="0"/>
          <w:sz w:val="20"/>
        </w:rPr>
        <w:t>講座遴聘委員會會議訂定</w:t>
      </w:r>
    </w:p>
    <w:p w:rsidR="009121DB" w:rsidRPr="00FF7241" w:rsidRDefault="009121DB" w:rsidP="009121DB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Md-HK-BF"/>
          <w:kern w:val="0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"/>
          <w:attr w:name="Year" w:val="1998"/>
        </w:smartTagPr>
        <w:r w:rsidRPr="00FF7241">
          <w:rPr>
            <w:rFonts w:ascii="標楷體" w:eastAsia="標楷體" w:hAnsi="標楷體" w:cs="DFKaiShu-Md-HK-BF" w:hint="eastAsia"/>
            <w:kern w:val="0"/>
            <w:sz w:val="20"/>
          </w:rPr>
          <w:t>98年1月16日</w:t>
        </w:r>
      </w:smartTag>
      <w:r w:rsidRPr="00FF7241">
        <w:rPr>
          <w:rFonts w:ascii="標楷體" w:eastAsia="標楷體" w:hAnsi="標楷體" w:cs="DFKaiShu-Md-HK-BF" w:hint="eastAsia"/>
          <w:kern w:val="0"/>
          <w:sz w:val="20"/>
        </w:rPr>
        <w:t>講座遴聘委員會會議修正通過（第4條）</w:t>
      </w:r>
    </w:p>
    <w:p w:rsidR="009121DB" w:rsidRPr="00FF7241" w:rsidRDefault="009121DB" w:rsidP="009121DB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Md-HK-BF"/>
          <w:kern w:val="0"/>
          <w:sz w:val="20"/>
        </w:rPr>
      </w:pPr>
      <w:r w:rsidRPr="00FF7241">
        <w:rPr>
          <w:rFonts w:ascii="標楷體" w:eastAsia="標楷體" w:hAnsi="標楷體" w:cs="DFKaiShu-Md-HK-BF" w:hint="eastAsia"/>
          <w:kern w:val="0"/>
          <w:sz w:val="20"/>
        </w:rPr>
        <w:t>100年5月16日第60次校務會議延續會修正通過（第3、5點）</w:t>
      </w:r>
    </w:p>
    <w:p w:rsidR="009121DB" w:rsidRPr="00FF7241" w:rsidRDefault="009121DB" w:rsidP="009121DB">
      <w:pPr>
        <w:adjustRightInd w:val="0"/>
        <w:spacing w:line="200" w:lineRule="exact"/>
        <w:ind w:left="1000" w:hanging="1000"/>
        <w:jc w:val="right"/>
        <w:textAlignment w:val="baseline"/>
        <w:rPr>
          <w:rFonts w:ascii="標楷體" w:eastAsia="標楷體" w:hAnsi="標楷體"/>
          <w:kern w:val="0"/>
          <w:sz w:val="16"/>
          <w:szCs w:val="16"/>
        </w:rPr>
      </w:pPr>
      <w:r w:rsidRPr="00FF7241">
        <w:rPr>
          <w:rFonts w:ascii="標楷體" w:eastAsia="標楷體" w:hAnsi="標楷體" w:hint="eastAsia"/>
          <w:kern w:val="0"/>
          <w:sz w:val="20"/>
        </w:rPr>
        <w:t>100年12月12日</w:t>
      </w:r>
      <w:r w:rsidRPr="00FF7241">
        <w:rPr>
          <w:rFonts w:ascii="標楷體" w:eastAsia="標楷體" w:hAnsi="標楷體"/>
          <w:kern w:val="0"/>
          <w:sz w:val="20"/>
        </w:rPr>
        <w:t>第</w:t>
      </w:r>
      <w:r w:rsidRPr="00FF7241">
        <w:rPr>
          <w:rFonts w:ascii="標楷體" w:eastAsia="標楷體" w:hAnsi="標楷體" w:hint="eastAsia"/>
          <w:kern w:val="0"/>
          <w:sz w:val="20"/>
        </w:rPr>
        <w:t>61</w:t>
      </w:r>
      <w:r w:rsidRPr="00FF7241">
        <w:rPr>
          <w:rFonts w:ascii="標楷體" w:eastAsia="標楷體" w:hAnsi="標楷體"/>
          <w:kern w:val="0"/>
          <w:sz w:val="20"/>
        </w:rPr>
        <w:t>次校務會議</w:t>
      </w:r>
      <w:r w:rsidRPr="00FF7241">
        <w:rPr>
          <w:rFonts w:ascii="標楷體" w:eastAsia="標楷體" w:hAnsi="標楷體" w:hint="eastAsia"/>
          <w:kern w:val="0"/>
          <w:sz w:val="20"/>
        </w:rPr>
        <w:t>延續會</w:t>
      </w:r>
      <w:r w:rsidRPr="00FF7241">
        <w:rPr>
          <w:rFonts w:ascii="標楷體" w:eastAsia="標楷體" w:hAnsi="標楷體"/>
          <w:kern w:val="0"/>
          <w:sz w:val="20"/>
        </w:rPr>
        <w:t>通過</w:t>
      </w:r>
      <w:r w:rsidRPr="00FF7241">
        <w:rPr>
          <w:rFonts w:ascii="標楷體" w:eastAsia="標楷體" w:hAnsi="標楷體" w:hint="eastAsia"/>
          <w:kern w:val="0"/>
          <w:sz w:val="20"/>
        </w:rPr>
        <w:t>（</w:t>
      </w:r>
      <w:r w:rsidRPr="00FF7241">
        <w:rPr>
          <w:rFonts w:ascii="標楷體" w:eastAsia="標楷體" w:hAnsi="標楷體"/>
          <w:kern w:val="0"/>
          <w:sz w:val="20"/>
        </w:rPr>
        <w:t>第</w:t>
      </w:r>
      <w:r w:rsidRPr="00FF7241">
        <w:rPr>
          <w:rFonts w:ascii="標楷體" w:eastAsia="標楷體" w:hAnsi="標楷體" w:hint="eastAsia"/>
          <w:kern w:val="0"/>
          <w:sz w:val="20"/>
        </w:rPr>
        <w:t>3點)</w:t>
      </w:r>
      <w:r w:rsidRPr="00FF7241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9121DB" w:rsidRDefault="009121DB" w:rsidP="009121DB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kern w:val="0"/>
          <w:sz w:val="20"/>
        </w:rPr>
      </w:pPr>
      <w:r w:rsidRPr="00FF7241">
        <w:rPr>
          <w:rFonts w:ascii="標楷體" w:eastAsia="標楷體" w:hAnsi="標楷體"/>
          <w:kern w:val="0"/>
          <w:sz w:val="20"/>
        </w:rPr>
        <w:t xml:space="preserve">101 </w:t>
      </w:r>
      <w:r w:rsidRPr="00FF7241">
        <w:rPr>
          <w:rFonts w:ascii="標楷體" w:eastAsia="標楷體" w:hAnsi="標楷體" w:cs="DFKaiShu-SB-Estd-BF" w:hint="eastAsia"/>
          <w:kern w:val="0"/>
          <w:sz w:val="20"/>
        </w:rPr>
        <w:t>年</w:t>
      </w:r>
      <w:r w:rsidRPr="00FF7241">
        <w:rPr>
          <w:rFonts w:ascii="標楷體" w:eastAsia="標楷體" w:hAnsi="標楷體"/>
          <w:kern w:val="0"/>
          <w:sz w:val="20"/>
        </w:rPr>
        <w:t>5</w:t>
      </w:r>
      <w:r w:rsidRPr="00FF7241">
        <w:rPr>
          <w:rFonts w:ascii="標楷體" w:eastAsia="標楷體" w:hAnsi="標楷體" w:cs="DFKaiShu-SB-Estd-BF" w:hint="eastAsia"/>
          <w:kern w:val="0"/>
          <w:sz w:val="20"/>
        </w:rPr>
        <w:t>月</w:t>
      </w:r>
      <w:r w:rsidRPr="00FF7241">
        <w:rPr>
          <w:rFonts w:ascii="標楷體" w:eastAsia="標楷體" w:hAnsi="標楷體"/>
          <w:kern w:val="0"/>
          <w:sz w:val="20"/>
        </w:rPr>
        <w:t>11</w:t>
      </w:r>
      <w:r w:rsidRPr="00FF7241">
        <w:rPr>
          <w:rFonts w:ascii="標楷體" w:eastAsia="標楷體" w:hAnsi="標楷體" w:cs="DFKaiShu-SB-Estd-BF" w:hint="eastAsia"/>
          <w:kern w:val="0"/>
          <w:sz w:val="20"/>
        </w:rPr>
        <w:t>日第</w:t>
      </w:r>
      <w:r w:rsidRPr="00FF7241">
        <w:rPr>
          <w:rFonts w:ascii="標楷體" w:eastAsia="標楷體" w:hAnsi="標楷體"/>
          <w:kern w:val="0"/>
          <w:sz w:val="20"/>
        </w:rPr>
        <w:t xml:space="preserve">62 </w:t>
      </w:r>
      <w:r w:rsidRPr="00FF7241">
        <w:rPr>
          <w:rFonts w:ascii="標楷體" w:eastAsia="標楷體" w:hAnsi="標楷體" w:cs="DFKaiShu-SB-Estd-BF" w:hint="eastAsia"/>
          <w:kern w:val="0"/>
          <w:sz w:val="20"/>
        </w:rPr>
        <w:t>次校務會議通過（第</w:t>
      </w:r>
      <w:r w:rsidRPr="00FF7241">
        <w:rPr>
          <w:rFonts w:ascii="標楷體" w:eastAsia="標楷體" w:hAnsi="標楷體"/>
          <w:kern w:val="0"/>
          <w:sz w:val="20"/>
        </w:rPr>
        <w:t xml:space="preserve">3 </w:t>
      </w:r>
      <w:r w:rsidRPr="00FF7241">
        <w:rPr>
          <w:rFonts w:ascii="標楷體" w:eastAsia="標楷體" w:hAnsi="標楷體" w:cs="DFKaiShu-SB-Estd-BF" w:hint="eastAsia"/>
          <w:kern w:val="0"/>
          <w:sz w:val="20"/>
        </w:rPr>
        <w:t>點</w:t>
      </w:r>
      <w:r w:rsidRPr="00FF7241">
        <w:rPr>
          <w:rFonts w:ascii="標楷體" w:eastAsia="標楷體" w:hAnsi="標楷體"/>
          <w:kern w:val="0"/>
          <w:sz w:val="20"/>
        </w:rPr>
        <w:t>)</w:t>
      </w:r>
    </w:p>
    <w:p w:rsidR="009121DB" w:rsidRDefault="009121DB" w:rsidP="009121DB">
      <w:pPr>
        <w:widowControl/>
        <w:snapToGrid w:val="0"/>
        <w:jc w:val="right"/>
        <w:rPr>
          <w:rFonts w:ascii="標楷體" w:eastAsia="標楷體" w:hAnsi="標楷體"/>
          <w:sz w:val="20"/>
        </w:rPr>
      </w:pPr>
      <w:r w:rsidRPr="009474D1">
        <w:rPr>
          <w:rFonts w:ascii="標楷體" w:eastAsia="標楷體" w:hAnsi="標楷體"/>
          <w:sz w:val="20"/>
          <w:highlight w:val="yellow"/>
        </w:rPr>
        <w:t>10</w:t>
      </w:r>
      <w:r w:rsidRPr="009474D1">
        <w:rPr>
          <w:rFonts w:ascii="標楷體" w:eastAsia="標楷體" w:hAnsi="標楷體" w:hint="eastAsia"/>
          <w:sz w:val="20"/>
          <w:highlight w:val="yellow"/>
        </w:rPr>
        <w:t>3</w:t>
      </w:r>
      <w:r w:rsidRPr="009474D1">
        <w:rPr>
          <w:rFonts w:ascii="標楷體" w:eastAsia="標楷體" w:hAnsi="標楷體"/>
          <w:sz w:val="20"/>
          <w:highlight w:val="yellow"/>
        </w:rPr>
        <w:t>年12月</w:t>
      </w:r>
      <w:r w:rsidRPr="009474D1">
        <w:rPr>
          <w:rFonts w:ascii="標楷體" w:eastAsia="標楷體" w:hAnsi="標楷體" w:hint="eastAsia"/>
          <w:sz w:val="20"/>
          <w:highlight w:val="yellow"/>
        </w:rPr>
        <w:t>12</w:t>
      </w:r>
      <w:r w:rsidRPr="009474D1">
        <w:rPr>
          <w:rFonts w:ascii="標楷體" w:eastAsia="標楷體" w:hAnsi="標楷體"/>
          <w:sz w:val="20"/>
          <w:highlight w:val="yellow"/>
        </w:rPr>
        <w:t>日第</w:t>
      </w:r>
      <w:r w:rsidRPr="009474D1">
        <w:rPr>
          <w:rFonts w:ascii="標楷體" w:eastAsia="標楷體" w:hAnsi="標楷體" w:hint="eastAsia"/>
          <w:sz w:val="20"/>
          <w:highlight w:val="yellow"/>
        </w:rPr>
        <w:t>71</w:t>
      </w:r>
      <w:r w:rsidRPr="009474D1">
        <w:rPr>
          <w:rFonts w:ascii="標楷體" w:eastAsia="標楷體" w:hAnsi="標楷體" w:cs="DFKaiShu-SB-Estd-BF" w:hint="eastAsia"/>
          <w:sz w:val="20"/>
          <w:highlight w:val="yellow"/>
        </w:rPr>
        <w:t>次</w:t>
      </w:r>
      <w:r w:rsidRPr="00FA6F98">
        <w:rPr>
          <w:rFonts w:ascii="標楷體" w:eastAsia="標楷體" w:hAnsi="標楷體" w:hint="eastAsia"/>
          <w:sz w:val="20"/>
          <w:highlight w:val="yellow"/>
        </w:rPr>
        <w:t>校務會議修正(第</w:t>
      </w:r>
      <w:r>
        <w:rPr>
          <w:rFonts w:ascii="標楷體" w:eastAsia="標楷體" w:hAnsi="標楷體" w:hint="eastAsia"/>
          <w:sz w:val="20"/>
          <w:highlight w:val="yellow"/>
        </w:rPr>
        <w:t>3</w:t>
      </w:r>
      <w:r w:rsidRPr="00FA6F98">
        <w:rPr>
          <w:rFonts w:ascii="標楷體" w:eastAsia="標楷體" w:hAnsi="標楷體" w:hint="eastAsia"/>
          <w:sz w:val="20"/>
          <w:highlight w:val="yellow"/>
        </w:rPr>
        <w:t>條)</w:t>
      </w:r>
    </w:p>
    <w:p w:rsidR="009121DB" w:rsidRPr="00FF7241" w:rsidRDefault="009121DB" w:rsidP="009121DB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Md-HK-BF"/>
          <w:kern w:val="0"/>
          <w:sz w:val="20"/>
        </w:rPr>
      </w:pPr>
    </w:p>
    <w:p w:rsidR="009121DB" w:rsidRPr="00FF7241" w:rsidRDefault="009121DB" w:rsidP="009121DB">
      <w:pPr>
        <w:autoSpaceDE w:val="0"/>
        <w:autoSpaceDN w:val="0"/>
        <w:adjustRightInd w:val="0"/>
        <w:snapToGrid w:val="0"/>
        <w:spacing w:beforeLines="50" w:before="180"/>
        <w:ind w:left="480" w:hangingChars="200" w:hanging="480"/>
        <w:jc w:val="both"/>
        <w:rPr>
          <w:rFonts w:ascii="標楷體" w:eastAsia="標楷體" w:hAnsi="標楷體" w:cs="DFKaiShu-SB-Estd-BF"/>
          <w:kern w:val="0"/>
        </w:rPr>
      </w:pPr>
      <w:r w:rsidRPr="00FF7241">
        <w:rPr>
          <w:rFonts w:ascii="標楷體" w:eastAsia="標楷體" w:hAnsi="標楷體" w:cs="DFKaiShu-SB-Estd-BF" w:hint="eastAsia"/>
          <w:kern w:val="0"/>
        </w:rPr>
        <w:t>一、為建立本校講座教授待遇核給標準，以求學校學術資源能發揮最大之成效，特訂定「</w:t>
      </w:r>
      <w:r w:rsidRPr="00FF7241">
        <w:rPr>
          <w:rFonts w:ascii="標楷體" w:eastAsia="標楷體" w:hAnsi="標楷體" w:cs="DFKaiShu-Md-HK-BF" w:hint="eastAsia"/>
          <w:kern w:val="0"/>
        </w:rPr>
        <w:t>國立中興大學講座教授待遇審議要點</w:t>
      </w:r>
      <w:r w:rsidRPr="00FF7241">
        <w:rPr>
          <w:rFonts w:ascii="標楷體" w:eastAsia="標楷體" w:hAnsi="標楷體" w:cs="DFKaiShu-SB-Estd-BF" w:hint="eastAsia"/>
          <w:kern w:val="0"/>
        </w:rPr>
        <w:t>」（以下簡稱本要點）。</w:t>
      </w:r>
    </w:p>
    <w:p w:rsidR="009121DB" w:rsidRPr="00FF7241" w:rsidRDefault="009121DB" w:rsidP="009121DB">
      <w:pPr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 w:cs="DFKaiShu-SB-Estd-BF"/>
          <w:kern w:val="0"/>
        </w:rPr>
      </w:pPr>
      <w:r w:rsidRPr="00FF7241">
        <w:rPr>
          <w:rFonts w:ascii="標楷體" w:eastAsia="標楷體" w:hAnsi="標楷體" w:cs="DFKaiShu-SB-Estd-BF" w:hint="eastAsia"/>
          <w:kern w:val="0"/>
        </w:rPr>
        <w:t>二、本校講座教授由</w:t>
      </w:r>
      <w:r w:rsidRPr="00FF7241">
        <w:rPr>
          <w:rFonts w:ascii="標楷體" w:eastAsia="標楷體" w:hAnsi="標楷體" w:hint="eastAsia"/>
        </w:rPr>
        <w:t>校內</w:t>
      </w:r>
      <w:r w:rsidRPr="00FF7241">
        <w:rPr>
          <w:rFonts w:ascii="標楷體" w:eastAsia="標楷體" w:hAnsi="標楷體"/>
        </w:rPr>
        <w:t>教授或國內外知名學者專家擔任</w:t>
      </w:r>
      <w:r w:rsidRPr="00FF7241">
        <w:rPr>
          <w:rFonts w:ascii="標楷體" w:eastAsia="標楷體" w:hAnsi="標楷體" w:cs="DFKaiShu-SB-Estd-BF" w:hint="eastAsia"/>
          <w:kern w:val="0"/>
        </w:rPr>
        <w:t>。</w:t>
      </w:r>
    </w:p>
    <w:p w:rsidR="009121DB" w:rsidRPr="00FF7241" w:rsidRDefault="009121DB" w:rsidP="009121DB">
      <w:pPr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 w:cs="DFKaiShu-SB-Estd-BF"/>
          <w:kern w:val="0"/>
        </w:rPr>
      </w:pPr>
      <w:r w:rsidRPr="00FF7241">
        <w:rPr>
          <w:rFonts w:ascii="標楷體" w:eastAsia="標楷體" w:hAnsi="標楷體" w:cs="DFKaiShu-SB-Estd-BF" w:hint="eastAsia"/>
          <w:kern w:val="0"/>
        </w:rPr>
        <w:t>三、講座之待遇</w:t>
      </w:r>
    </w:p>
    <w:p w:rsidR="009121DB" w:rsidRPr="00FF7241" w:rsidRDefault="009121DB" w:rsidP="009121DB">
      <w:pPr>
        <w:autoSpaceDE w:val="0"/>
        <w:autoSpaceDN w:val="0"/>
        <w:adjustRightInd w:val="0"/>
        <w:snapToGrid w:val="0"/>
        <w:spacing w:beforeLines="50" w:before="180" w:line="360" w:lineRule="exact"/>
        <w:ind w:leftChars="100" w:left="1080" w:hangingChars="350" w:hanging="840"/>
        <w:jc w:val="both"/>
        <w:rPr>
          <w:rFonts w:ascii="標楷體" w:eastAsia="標楷體" w:hAnsi="標楷體" w:cs="新細明體"/>
          <w:kern w:val="0"/>
        </w:rPr>
      </w:pPr>
      <w:r w:rsidRPr="00FF7241">
        <w:rPr>
          <w:rFonts w:ascii="標楷體" w:eastAsia="標楷體" w:hAnsi="標楷體" w:cs="DFKaiShu-SB-Estd-BF" w:hint="eastAsia"/>
          <w:kern w:val="0"/>
        </w:rPr>
        <w:t xml:space="preserve"> </w:t>
      </w:r>
      <w:r w:rsidRPr="00FF7241">
        <w:rPr>
          <w:rFonts w:ascii="標楷體" w:eastAsia="標楷體" w:hAnsi="標楷體" w:hint="eastAsia"/>
          <w:kern w:val="0"/>
        </w:rPr>
        <w:t>（一）</w:t>
      </w:r>
      <w:r w:rsidRPr="00FF7241">
        <w:rPr>
          <w:rFonts w:ascii="標楷體" w:eastAsia="標楷體" w:hAnsi="標楷體"/>
          <w:kern w:val="0"/>
        </w:rPr>
        <w:t>專任講座</w:t>
      </w:r>
      <w:r w:rsidRPr="00FF7241">
        <w:rPr>
          <w:rFonts w:ascii="標楷體" w:eastAsia="標楷體" w:hAnsi="標楷體" w:hint="eastAsia"/>
          <w:kern w:val="0"/>
        </w:rPr>
        <w:t>：</w:t>
      </w:r>
      <w:r w:rsidRPr="00FF7241">
        <w:rPr>
          <w:rFonts w:ascii="標楷體" w:eastAsia="標楷體" w:hAnsi="標楷體" w:cs="新細明體" w:hint="eastAsia"/>
          <w:spacing w:val="-4"/>
          <w:kern w:val="0"/>
        </w:rPr>
        <w:t>講座加給每年獎助新台幣72萬元至1200萬元</w:t>
      </w:r>
      <w:r w:rsidRPr="00FF7241">
        <w:rPr>
          <w:rFonts w:ascii="標楷體" w:eastAsia="標楷體" w:hAnsi="標楷體" w:cs="新細明體" w:hint="eastAsia"/>
          <w:kern w:val="0"/>
        </w:rPr>
        <w:t>整。</w:t>
      </w:r>
    </w:p>
    <w:tbl>
      <w:tblPr>
        <w:tblW w:w="34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2229"/>
      </w:tblGrid>
      <w:tr w:rsidR="009121DB" w:rsidRPr="00FF7241" w:rsidTr="00002F9D">
        <w:tc>
          <w:tcPr>
            <w:tcW w:w="1251" w:type="dxa"/>
            <w:vAlign w:val="center"/>
          </w:tcPr>
          <w:p w:rsidR="009121DB" w:rsidRPr="00FF7241" w:rsidRDefault="009121DB" w:rsidP="00002F9D">
            <w:pPr>
              <w:adjustRightInd w:val="0"/>
              <w:ind w:firstLineChars="200" w:firstLine="480"/>
              <w:textAlignment w:val="baseline"/>
              <w:rPr>
                <w:rFonts w:eastAsia="標楷體" w:cs="Arial Unicode MS"/>
              </w:rPr>
            </w:pPr>
            <w:r w:rsidRPr="00FF7241">
              <w:rPr>
                <w:rFonts w:eastAsia="標楷體" w:hint="eastAsia"/>
              </w:rPr>
              <w:t>類別</w:t>
            </w:r>
          </w:p>
        </w:tc>
        <w:tc>
          <w:tcPr>
            <w:tcW w:w="2229" w:type="dxa"/>
            <w:vAlign w:val="center"/>
          </w:tcPr>
          <w:p w:rsidR="009121DB" w:rsidRPr="00FF7241" w:rsidRDefault="009121DB" w:rsidP="00002F9D">
            <w:pPr>
              <w:adjustRightInd w:val="0"/>
              <w:jc w:val="right"/>
              <w:textAlignment w:val="baseline"/>
              <w:rPr>
                <w:rFonts w:eastAsia="標楷體" w:cs="Arial Unicode MS"/>
              </w:rPr>
            </w:pPr>
            <w:r w:rsidRPr="00FF7241">
              <w:rPr>
                <w:rFonts w:eastAsia="標楷體" w:cs="Arial Unicode MS" w:hint="eastAsia"/>
              </w:rPr>
              <w:t>薪資加給</w:t>
            </w:r>
            <w:r w:rsidRPr="00FF7241">
              <w:rPr>
                <w:rFonts w:eastAsia="標楷體" w:cs="Arial Unicode MS" w:hint="eastAsia"/>
              </w:rPr>
              <w:t>/</w:t>
            </w:r>
            <w:r w:rsidRPr="00FF7241">
              <w:rPr>
                <w:rFonts w:eastAsia="標楷體" w:cs="Arial Unicode MS" w:hint="eastAsia"/>
              </w:rPr>
              <w:t>月</w:t>
            </w:r>
            <w:r w:rsidRPr="00FF7241">
              <w:rPr>
                <w:rFonts w:eastAsia="標楷體" w:cs="Arial Unicode MS" w:hint="eastAsia"/>
              </w:rPr>
              <w:t>(</w:t>
            </w:r>
            <w:r w:rsidRPr="00FF7241">
              <w:rPr>
                <w:rFonts w:eastAsia="標楷體" w:cs="Arial Unicode MS" w:hint="eastAsia"/>
              </w:rPr>
              <w:t>元</w:t>
            </w:r>
            <w:r w:rsidRPr="00FF7241">
              <w:rPr>
                <w:rFonts w:eastAsia="標楷體" w:cs="Arial Unicode MS" w:hint="eastAsia"/>
              </w:rPr>
              <w:t>)</w:t>
            </w:r>
          </w:p>
        </w:tc>
      </w:tr>
      <w:tr w:rsidR="009121DB" w:rsidRPr="00FF7241" w:rsidTr="00002F9D">
        <w:trPr>
          <w:trHeight w:val="315"/>
        </w:trPr>
        <w:tc>
          <w:tcPr>
            <w:tcW w:w="1251" w:type="dxa"/>
            <w:vAlign w:val="center"/>
          </w:tcPr>
          <w:p w:rsidR="009121DB" w:rsidRPr="00FF7241" w:rsidRDefault="009121DB" w:rsidP="00002F9D">
            <w:pPr>
              <w:adjustRightInd w:val="0"/>
              <w:ind w:firstLineChars="16" w:firstLine="38"/>
              <w:jc w:val="both"/>
              <w:textAlignment w:val="baseline"/>
              <w:rPr>
                <w:rFonts w:eastAsia="標楷體"/>
              </w:rPr>
            </w:pPr>
            <w:r w:rsidRPr="00FF7241">
              <w:rPr>
                <w:rFonts w:eastAsia="標楷體" w:hint="eastAsia"/>
              </w:rPr>
              <w:t>傑出講座</w:t>
            </w:r>
          </w:p>
        </w:tc>
        <w:tc>
          <w:tcPr>
            <w:tcW w:w="2229" w:type="dxa"/>
            <w:vAlign w:val="center"/>
          </w:tcPr>
          <w:p w:rsidR="009121DB" w:rsidRPr="00FF7241" w:rsidRDefault="009121DB" w:rsidP="00002F9D">
            <w:pPr>
              <w:adjustRightInd w:val="0"/>
              <w:jc w:val="right"/>
              <w:textAlignment w:val="baseline"/>
              <w:rPr>
                <w:rFonts w:eastAsia="標楷體"/>
              </w:rPr>
            </w:pPr>
            <w:r w:rsidRPr="00FF7241">
              <w:rPr>
                <w:rFonts w:eastAsia="標楷體" w:hint="eastAsia"/>
              </w:rPr>
              <w:t>600,000</w:t>
            </w:r>
            <w:r w:rsidRPr="00FF7241">
              <w:rPr>
                <w:rFonts w:eastAsia="標楷體" w:hint="eastAsia"/>
              </w:rPr>
              <w:t>至</w:t>
            </w:r>
            <w:r w:rsidRPr="00FF7241">
              <w:rPr>
                <w:rFonts w:eastAsia="標楷體" w:hint="eastAsia"/>
              </w:rPr>
              <w:t>1000,000</w:t>
            </w:r>
          </w:p>
        </w:tc>
      </w:tr>
      <w:tr w:rsidR="009121DB" w:rsidRPr="00FF7241" w:rsidTr="00002F9D">
        <w:trPr>
          <w:trHeight w:val="315"/>
        </w:trPr>
        <w:tc>
          <w:tcPr>
            <w:tcW w:w="1251" w:type="dxa"/>
            <w:vAlign w:val="center"/>
          </w:tcPr>
          <w:p w:rsidR="009121DB" w:rsidRPr="00FF7241" w:rsidRDefault="009121DB" w:rsidP="00002F9D">
            <w:pPr>
              <w:adjustRightInd w:val="0"/>
              <w:ind w:left="720" w:hanging="720"/>
              <w:jc w:val="both"/>
              <w:textAlignment w:val="baseline"/>
              <w:rPr>
                <w:rFonts w:eastAsia="標楷體"/>
              </w:rPr>
            </w:pPr>
            <w:r w:rsidRPr="00FF7241">
              <w:rPr>
                <w:rFonts w:eastAsia="標楷體" w:hint="eastAsia"/>
              </w:rPr>
              <w:t>特聘講座</w:t>
            </w:r>
          </w:p>
        </w:tc>
        <w:tc>
          <w:tcPr>
            <w:tcW w:w="2229" w:type="dxa"/>
            <w:vAlign w:val="center"/>
          </w:tcPr>
          <w:p w:rsidR="009121DB" w:rsidRPr="00FF7241" w:rsidRDefault="009121DB" w:rsidP="00002F9D">
            <w:pPr>
              <w:adjustRightInd w:val="0"/>
              <w:jc w:val="right"/>
              <w:textAlignment w:val="baseline"/>
              <w:rPr>
                <w:rFonts w:eastAsia="標楷體"/>
              </w:rPr>
            </w:pPr>
            <w:r w:rsidRPr="00FF7241">
              <w:rPr>
                <w:rFonts w:eastAsia="標楷體" w:hint="eastAsia"/>
              </w:rPr>
              <w:t>100,000</w:t>
            </w:r>
            <w:r w:rsidRPr="00FF7241">
              <w:rPr>
                <w:rFonts w:eastAsia="標楷體" w:hint="eastAsia"/>
              </w:rPr>
              <w:t>至</w:t>
            </w:r>
            <w:r w:rsidRPr="00FF7241">
              <w:rPr>
                <w:rFonts w:eastAsia="標楷體" w:hint="eastAsia"/>
              </w:rPr>
              <w:t>300,000</w:t>
            </w:r>
          </w:p>
        </w:tc>
      </w:tr>
      <w:tr w:rsidR="009121DB" w:rsidRPr="00FF7241" w:rsidTr="00002F9D">
        <w:trPr>
          <w:trHeight w:val="315"/>
        </w:trPr>
        <w:tc>
          <w:tcPr>
            <w:tcW w:w="1251" w:type="dxa"/>
            <w:vAlign w:val="center"/>
          </w:tcPr>
          <w:p w:rsidR="009121DB" w:rsidRPr="00FF7241" w:rsidRDefault="009121DB" w:rsidP="00002F9D">
            <w:pPr>
              <w:adjustRightInd w:val="0"/>
              <w:ind w:left="720" w:hanging="720"/>
              <w:jc w:val="both"/>
              <w:textAlignment w:val="baseline"/>
              <w:rPr>
                <w:rFonts w:eastAsia="標楷體"/>
              </w:rPr>
            </w:pPr>
            <w:r w:rsidRPr="00FF7241">
              <w:rPr>
                <w:rFonts w:eastAsia="標楷體" w:hint="eastAsia"/>
              </w:rPr>
              <w:t>中興講座</w:t>
            </w:r>
          </w:p>
        </w:tc>
        <w:tc>
          <w:tcPr>
            <w:tcW w:w="2229" w:type="dxa"/>
            <w:vAlign w:val="center"/>
          </w:tcPr>
          <w:p w:rsidR="009121DB" w:rsidRPr="00FF7241" w:rsidRDefault="009121DB" w:rsidP="00002F9D">
            <w:pPr>
              <w:adjustRightInd w:val="0"/>
              <w:jc w:val="right"/>
              <w:textAlignment w:val="baseline"/>
              <w:rPr>
                <w:rFonts w:eastAsia="標楷體"/>
              </w:rPr>
            </w:pPr>
            <w:r w:rsidRPr="00FF7241">
              <w:rPr>
                <w:rFonts w:eastAsia="標楷體" w:hint="eastAsia"/>
              </w:rPr>
              <w:t>70,000</w:t>
            </w:r>
            <w:r w:rsidRPr="00FF7241">
              <w:rPr>
                <w:rFonts w:eastAsia="標楷體" w:hint="eastAsia"/>
              </w:rPr>
              <w:t>至</w:t>
            </w:r>
            <w:r w:rsidRPr="00FF7241">
              <w:rPr>
                <w:rFonts w:eastAsia="標楷體" w:hint="eastAsia"/>
              </w:rPr>
              <w:t>90,000</w:t>
            </w:r>
          </w:p>
        </w:tc>
      </w:tr>
      <w:tr w:rsidR="009121DB" w:rsidRPr="00FF7241" w:rsidTr="00002F9D">
        <w:trPr>
          <w:trHeight w:val="315"/>
        </w:trPr>
        <w:tc>
          <w:tcPr>
            <w:tcW w:w="1251" w:type="dxa"/>
            <w:vAlign w:val="center"/>
          </w:tcPr>
          <w:p w:rsidR="009121DB" w:rsidRPr="00FF7241" w:rsidRDefault="009121DB" w:rsidP="00002F9D">
            <w:pPr>
              <w:adjustRightInd w:val="0"/>
              <w:ind w:firstLineChars="16" w:firstLine="38"/>
              <w:jc w:val="both"/>
              <w:textAlignment w:val="baseline"/>
              <w:rPr>
                <w:rFonts w:eastAsia="標楷體"/>
              </w:rPr>
            </w:pPr>
            <w:r w:rsidRPr="00FF7241">
              <w:rPr>
                <w:rFonts w:eastAsia="標楷體" w:hint="eastAsia"/>
              </w:rPr>
              <w:t>講座教授</w:t>
            </w:r>
          </w:p>
        </w:tc>
        <w:tc>
          <w:tcPr>
            <w:tcW w:w="2229" w:type="dxa"/>
            <w:vAlign w:val="center"/>
          </w:tcPr>
          <w:p w:rsidR="009121DB" w:rsidRPr="00FF7241" w:rsidRDefault="009121DB" w:rsidP="00002F9D">
            <w:pPr>
              <w:adjustRightInd w:val="0"/>
              <w:ind w:firstLineChars="200" w:firstLine="480"/>
              <w:jc w:val="right"/>
              <w:textAlignment w:val="baseline"/>
              <w:rPr>
                <w:rFonts w:eastAsia="標楷體"/>
              </w:rPr>
            </w:pPr>
            <w:r w:rsidRPr="00FF7241">
              <w:rPr>
                <w:rFonts w:eastAsia="標楷體" w:hint="eastAsia"/>
              </w:rPr>
              <w:t>60,000</w:t>
            </w:r>
          </w:p>
        </w:tc>
      </w:tr>
    </w:tbl>
    <w:p w:rsidR="009121DB" w:rsidRPr="00FF7241" w:rsidRDefault="009121DB" w:rsidP="009121DB">
      <w:pPr>
        <w:widowControl/>
        <w:adjustRightInd w:val="0"/>
        <w:snapToGrid w:val="0"/>
        <w:spacing w:beforeLines="50" w:before="180"/>
        <w:ind w:leftChars="150" w:left="1080" w:hangingChars="300" w:hanging="720"/>
        <w:jc w:val="both"/>
        <w:rPr>
          <w:rFonts w:ascii="標楷體" w:eastAsia="標楷體" w:hAnsi="標楷體" w:cs="新細明體"/>
          <w:kern w:val="0"/>
        </w:rPr>
      </w:pPr>
      <w:r w:rsidRPr="00FF7241">
        <w:rPr>
          <w:rFonts w:ascii="標楷體" w:eastAsia="標楷體" w:hAnsi="標楷體" w:cs="新細明體" w:hint="eastAsia"/>
          <w:kern w:val="0"/>
        </w:rPr>
        <w:t>（二）特約講座：講座待遇支領標準由講座遴聘審議委員會依下列原則審議後訂定，並於聘函中明訂。</w:t>
      </w:r>
    </w:p>
    <w:p w:rsidR="009121DB" w:rsidRPr="00FF7241" w:rsidRDefault="009121DB" w:rsidP="009121DB">
      <w:pPr>
        <w:widowControl/>
        <w:adjustRightInd w:val="0"/>
        <w:snapToGrid w:val="0"/>
        <w:spacing w:beforeLines="50" w:before="180"/>
        <w:ind w:leftChars="450" w:left="1320" w:hangingChars="100" w:hanging="240"/>
        <w:jc w:val="both"/>
        <w:rPr>
          <w:rFonts w:ascii="標楷體" w:eastAsia="標楷體" w:hAnsi="標楷體" w:cs="新細明體"/>
          <w:kern w:val="0"/>
        </w:rPr>
      </w:pPr>
      <w:r w:rsidRPr="00FF7241">
        <w:rPr>
          <w:rFonts w:ascii="標楷體" w:eastAsia="標楷體" w:hAnsi="標楷體" w:cs="新細明體" w:hint="eastAsia"/>
          <w:kern w:val="0"/>
        </w:rPr>
        <w:t>1.在本校授課且指導研究生：講座待遇每月三萬至五萬元整。</w:t>
      </w:r>
    </w:p>
    <w:p w:rsidR="009121DB" w:rsidRPr="00FF7241" w:rsidRDefault="009121DB" w:rsidP="009121DB">
      <w:pPr>
        <w:widowControl/>
        <w:adjustRightInd w:val="0"/>
        <w:snapToGrid w:val="0"/>
        <w:spacing w:beforeLines="50" w:before="180"/>
        <w:ind w:leftChars="450" w:left="1320" w:hangingChars="100" w:hanging="240"/>
        <w:jc w:val="both"/>
        <w:rPr>
          <w:rFonts w:ascii="標楷體" w:eastAsia="標楷體" w:hAnsi="標楷體" w:cs="新細明體"/>
          <w:kern w:val="0"/>
        </w:rPr>
      </w:pPr>
      <w:r w:rsidRPr="00FF7241">
        <w:rPr>
          <w:rFonts w:ascii="標楷體" w:eastAsia="標楷體" w:hAnsi="標楷體" w:cs="新細明體" w:hint="eastAsia"/>
          <w:kern w:val="0"/>
        </w:rPr>
        <w:t>2.在本校授課，惟未指導研究生：講座待遇每月一萬至三萬元整。</w:t>
      </w:r>
    </w:p>
    <w:p w:rsidR="009121DB" w:rsidRPr="00FF7241" w:rsidRDefault="009121DB" w:rsidP="009121DB">
      <w:pPr>
        <w:widowControl/>
        <w:adjustRightInd w:val="0"/>
        <w:snapToGrid w:val="0"/>
        <w:spacing w:beforeLines="50" w:before="180"/>
        <w:ind w:leftChars="450" w:left="1320" w:hangingChars="100" w:hanging="240"/>
        <w:jc w:val="both"/>
        <w:rPr>
          <w:rFonts w:ascii="標楷體" w:eastAsia="標楷體" w:hAnsi="標楷體" w:cs="新細明體"/>
          <w:kern w:val="0"/>
        </w:rPr>
      </w:pPr>
      <w:r w:rsidRPr="00FF7241">
        <w:rPr>
          <w:rFonts w:ascii="標楷體" w:eastAsia="標楷體" w:hAnsi="標楷體" w:cs="新細明體" w:hint="eastAsia"/>
          <w:kern w:val="0"/>
        </w:rPr>
        <w:t>3.未授課，惟指導研究生論文，依規定支給論文指導費。</w:t>
      </w:r>
    </w:p>
    <w:p w:rsidR="009121DB" w:rsidRPr="00FF7241" w:rsidRDefault="009121DB" w:rsidP="009121DB">
      <w:pPr>
        <w:widowControl/>
        <w:adjustRightInd w:val="0"/>
        <w:snapToGrid w:val="0"/>
        <w:spacing w:beforeLines="50" w:before="180"/>
        <w:ind w:leftChars="450" w:left="1320" w:hangingChars="100" w:hanging="240"/>
        <w:jc w:val="both"/>
        <w:rPr>
          <w:rFonts w:ascii="標楷體" w:eastAsia="標楷體" w:hAnsi="標楷體" w:cs="新細明體"/>
          <w:kern w:val="0"/>
        </w:rPr>
      </w:pPr>
      <w:r w:rsidRPr="00FF7241">
        <w:rPr>
          <w:rFonts w:ascii="標楷體" w:eastAsia="標楷體" w:hAnsi="標楷體" w:cs="新細明體" w:hint="eastAsia"/>
          <w:kern w:val="0"/>
        </w:rPr>
        <w:t>4.蒞校演講，每次由學校酌致演講費。</w:t>
      </w:r>
    </w:p>
    <w:p w:rsidR="009121DB" w:rsidRPr="00FF7241" w:rsidRDefault="009121DB" w:rsidP="009121DB">
      <w:pPr>
        <w:widowControl/>
        <w:adjustRightInd w:val="0"/>
        <w:snapToGrid w:val="0"/>
        <w:spacing w:beforeLines="50" w:before="180"/>
        <w:ind w:leftChars="450" w:left="1320" w:hangingChars="100" w:hanging="240"/>
        <w:jc w:val="both"/>
        <w:rPr>
          <w:rFonts w:ascii="標楷體" w:eastAsia="標楷體" w:hAnsi="標楷體" w:cs="新細明體"/>
          <w:spacing w:val="-2"/>
          <w:kern w:val="0"/>
        </w:rPr>
      </w:pPr>
      <w:r w:rsidRPr="00FF7241">
        <w:rPr>
          <w:rFonts w:ascii="標楷體" w:eastAsia="標楷體" w:hAnsi="標楷體" w:cs="新細明體" w:hint="eastAsia"/>
          <w:kern w:val="0"/>
        </w:rPr>
        <w:t>5.國外聘請之講座，其講座待遇項目及金額部分，蒞校相關費用；包括日支費及旅費等，比照「</w:t>
      </w:r>
      <w:r w:rsidRPr="007C40C4">
        <w:rPr>
          <w:rFonts w:ascii="標楷體" w:eastAsia="標楷體" w:hAnsi="標楷體" w:hint="eastAsia"/>
          <w:color w:val="FF0000"/>
          <w:u w:val="single"/>
        </w:rPr>
        <w:t>科技部</w:t>
      </w:r>
      <w:r w:rsidRPr="00FF7241">
        <w:rPr>
          <w:rFonts w:ascii="標楷體" w:eastAsia="標楷體" w:hAnsi="標楷體" w:cs="新細明體" w:hint="eastAsia"/>
          <w:spacing w:val="-2"/>
          <w:kern w:val="0"/>
        </w:rPr>
        <w:t>補助延攬客座科技人才作業要點」中之講座教授等級辦理。</w:t>
      </w:r>
    </w:p>
    <w:p w:rsidR="009121DB" w:rsidRPr="00FF7241" w:rsidRDefault="009121DB" w:rsidP="009121DB">
      <w:pPr>
        <w:autoSpaceDE w:val="0"/>
        <w:autoSpaceDN w:val="0"/>
        <w:adjustRightInd w:val="0"/>
        <w:snapToGrid w:val="0"/>
        <w:spacing w:beforeLines="50" w:before="180"/>
        <w:ind w:leftChars="200" w:left="480"/>
        <w:jc w:val="both"/>
        <w:rPr>
          <w:rFonts w:ascii="標楷體" w:eastAsia="標楷體" w:hAnsi="標楷體" w:cs="新細明體"/>
          <w:kern w:val="0"/>
        </w:rPr>
      </w:pPr>
      <w:r w:rsidRPr="00FF7241">
        <w:rPr>
          <w:rFonts w:ascii="標楷體" w:eastAsia="標楷體" w:hAnsi="標楷體" w:cs="新細明體" w:hint="eastAsia"/>
          <w:kern w:val="0"/>
        </w:rPr>
        <w:t>前項第1、2款特約講座於本校授課每學分至少應任教十八週或十八小時，並視實際授課時數之比例覈實支給講座加給；任教科目如屬實習、實驗課程，授課時數折半計算之。</w:t>
      </w:r>
    </w:p>
    <w:p w:rsidR="009121DB" w:rsidRPr="00FF7241" w:rsidRDefault="009121DB" w:rsidP="009121DB">
      <w:pPr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 w:cs="DFKaiShu-SB-Estd-BF"/>
          <w:kern w:val="0"/>
        </w:rPr>
      </w:pPr>
      <w:r w:rsidRPr="00FF7241">
        <w:rPr>
          <w:rFonts w:ascii="標楷體" w:eastAsia="標楷體" w:hAnsi="標楷體" w:cs="DFKaiShu-SB-Estd-BF" w:hint="eastAsia"/>
          <w:kern w:val="0"/>
        </w:rPr>
        <w:t>四、績效評估</w:t>
      </w:r>
    </w:p>
    <w:p w:rsidR="009121DB" w:rsidRPr="00FF7241" w:rsidRDefault="009121DB" w:rsidP="009121DB">
      <w:pPr>
        <w:autoSpaceDE w:val="0"/>
        <w:autoSpaceDN w:val="0"/>
        <w:adjustRightInd w:val="0"/>
        <w:snapToGrid w:val="0"/>
        <w:ind w:left="461" w:hangingChars="192" w:hanging="461"/>
        <w:jc w:val="both"/>
        <w:rPr>
          <w:rFonts w:ascii="標楷體" w:eastAsia="標楷體" w:hAnsi="標楷體" w:cs="DFKaiShu-SB-Estd-BF"/>
          <w:kern w:val="0"/>
        </w:rPr>
      </w:pPr>
      <w:r w:rsidRPr="00FF7241">
        <w:rPr>
          <w:rFonts w:ascii="標楷體" w:eastAsia="標楷體" w:hAnsi="標楷體" w:cs="DFKaiShu-SB-Estd-BF" w:hint="eastAsia"/>
          <w:kern w:val="0"/>
        </w:rPr>
        <w:t xml:space="preserve">    校外講座教授來校進行短期學術活動，提聘單位應於每次活動結束後，提出成果報告，以供核銷結案參據。講座教授任期屆滿後一個月內，各提聘單位應提供總績效報告。上述報告請準備乙式二份，送講座遴聘委員會備查。</w:t>
      </w:r>
    </w:p>
    <w:p w:rsidR="00FD2D72" w:rsidRDefault="009121DB" w:rsidP="009121DB">
      <w:pPr>
        <w:autoSpaceDE w:val="0"/>
        <w:autoSpaceDN w:val="0"/>
        <w:adjustRightInd w:val="0"/>
        <w:snapToGrid w:val="0"/>
        <w:spacing w:beforeLines="50" w:before="180"/>
        <w:jc w:val="both"/>
      </w:pPr>
      <w:r w:rsidRPr="00FF7241">
        <w:rPr>
          <w:rFonts w:ascii="標楷體" w:eastAsia="標楷體" w:hAnsi="標楷體" w:cs="DFKaiShu-SB-Estd-BF" w:hint="eastAsia"/>
          <w:kern w:val="0"/>
        </w:rPr>
        <w:t>五、</w:t>
      </w:r>
      <w:r w:rsidRPr="00FF7241">
        <w:rPr>
          <w:rFonts w:ascii="標楷體" w:eastAsia="標楷體" w:hAnsi="標楷體"/>
        </w:rPr>
        <w:t>本要點由本校校務會議審議通過後實施，修訂時亦同。</w:t>
      </w:r>
      <w:bookmarkStart w:id="0" w:name="_GoBack"/>
      <w:bookmarkEnd w:id="0"/>
    </w:p>
    <w:sectPr w:rsidR="00FD2D72" w:rsidSect="009121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Md-HK-BF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DB"/>
    <w:rsid w:val="009121DB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2014-12-31T05:34:00Z</dcterms:created>
  <dcterms:modified xsi:type="dcterms:W3CDTF">2014-12-31T05:35:00Z</dcterms:modified>
</cp:coreProperties>
</file>