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64" w:rsidRPr="00D57B6F" w:rsidRDefault="00715F64" w:rsidP="00715F64">
      <w:pPr>
        <w:spacing w:beforeLines="10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D57B6F">
        <w:rPr>
          <w:rFonts w:ascii="標楷體" w:eastAsia="標楷體" w:hAnsi="標楷體" w:hint="eastAsia"/>
          <w:b/>
          <w:bCs/>
          <w:sz w:val="36"/>
          <w:szCs w:val="36"/>
        </w:rPr>
        <w:t>國立中興大學法政學院教師學術著作認定標準</w:t>
      </w:r>
    </w:p>
    <w:p w:rsidR="00715F64" w:rsidRPr="00D57B6F" w:rsidRDefault="00715F64" w:rsidP="00715F64">
      <w:pPr>
        <w:spacing w:beforeLines="100"/>
        <w:jc w:val="right"/>
        <w:rPr>
          <w:rFonts w:ascii="標楷體" w:eastAsia="標楷體" w:hAnsi="標楷體" w:hint="eastAsia"/>
          <w:bCs/>
        </w:rPr>
      </w:pPr>
      <w:r w:rsidRPr="00D57B6F">
        <w:rPr>
          <w:rFonts w:ascii="標楷體" w:eastAsia="標楷體" w:hAnsi="標楷體" w:hint="eastAsia"/>
          <w:bCs/>
          <w:sz w:val="20"/>
          <w:szCs w:val="20"/>
        </w:rPr>
        <w:t>民國100年12月8日院</w:t>
      </w:r>
      <w:proofErr w:type="gramStart"/>
      <w:r w:rsidRPr="00D57B6F">
        <w:rPr>
          <w:rFonts w:ascii="標楷體" w:eastAsia="標楷體" w:hAnsi="標楷體" w:hint="eastAsia"/>
          <w:bCs/>
          <w:sz w:val="20"/>
          <w:szCs w:val="20"/>
        </w:rPr>
        <w:t>務</w:t>
      </w:r>
      <w:proofErr w:type="gramEnd"/>
      <w:r w:rsidRPr="00D57B6F">
        <w:rPr>
          <w:rFonts w:ascii="標楷體" w:eastAsia="標楷體" w:hAnsi="標楷體" w:hint="eastAsia"/>
          <w:bCs/>
          <w:sz w:val="20"/>
          <w:szCs w:val="20"/>
        </w:rPr>
        <w:t>會議通過</w:t>
      </w:r>
    </w:p>
    <w:p w:rsidR="00715F64" w:rsidRPr="00D57B6F" w:rsidRDefault="00715F64" w:rsidP="00715F64">
      <w:pPr>
        <w:spacing w:beforeLines="10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本院教師之學術著作，依本標準認定之：</w:t>
      </w:r>
    </w:p>
    <w:p w:rsidR="00715F64" w:rsidRPr="00D57B6F" w:rsidRDefault="00715F64" w:rsidP="00715F64">
      <w:pPr>
        <w:spacing w:beforeLines="50"/>
        <w:ind w:left="546" w:hangingChars="210" w:hanging="546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一、學術期刊論文（國內外知名學術或</w:t>
      </w:r>
      <w:r w:rsidRPr="00D57B6F">
        <w:rPr>
          <w:rFonts w:ascii="標楷體" w:eastAsia="標楷體" w:hAnsi="標楷體" w:cs="標楷體" w:hint="eastAsia"/>
          <w:kern w:val="0"/>
          <w:sz w:val="26"/>
          <w:szCs w:val="26"/>
        </w:rPr>
        <w:t>具有匿名審查制度之專業刊物</w:t>
      </w:r>
      <w:r w:rsidRPr="00D57B6F">
        <w:rPr>
          <w:rFonts w:ascii="標楷體" w:eastAsia="標楷體" w:hAnsi="標楷體" w:hint="eastAsia"/>
          <w:bCs/>
          <w:sz w:val="26"/>
          <w:szCs w:val="26"/>
        </w:rPr>
        <w:t>），</w:t>
      </w:r>
      <w:r w:rsidRPr="00D57B6F">
        <w:rPr>
          <w:rFonts w:ascii="標楷體" w:eastAsia="標楷體" w:hAnsi="標楷體" w:hint="eastAsia"/>
          <w:kern w:val="0"/>
          <w:sz w:val="26"/>
          <w:szCs w:val="26"/>
        </w:rPr>
        <w:t>或國際期刊對等之論文集論文</w:t>
      </w:r>
      <w:r w:rsidRPr="00D57B6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715F64" w:rsidRPr="00D57B6F" w:rsidRDefault="00715F64" w:rsidP="00715F64">
      <w:pPr>
        <w:spacing w:beforeLines="50"/>
        <w:ind w:left="546" w:hangingChars="210" w:hanging="546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二、學術專書及學術專書論文：</w:t>
      </w:r>
      <w:r w:rsidRPr="00D57B6F">
        <w:rPr>
          <w:rFonts w:ascii="標楷體" w:eastAsia="標楷體" w:hAnsi="標楷體" w:hint="eastAsia"/>
          <w:kern w:val="0"/>
          <w:sz w:val="26"/>
          <w:szCs w:val="26"/>
        </w:rPr>
        <w:t>由具審查制度之出版單位出版且經院教評會審查通過者。</w:t>
      </w:r>
    </w:p>
    <w:p w:rsidR="00715F64" w:rsidRPr="00D57B6F" w:rsidRDefault="00715F64" w:rsidP="00715F64">
      <w:pPr>
        <w:spacing w:beforeLines="50"/>
        <w:ind w:left="546" w:hangingChars="210" w:hanging="546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三、國內外發明專利，</w:t>
      </w:r>
      <w:r w:rsidRPr="00D57B6F">
        <w:rPr>
          <w:rFonts w:ascii="標楷體" w:eastAsia="標楷體" w:hAnsi="標楷體" w:cs="標楷體" w:hint="eastAsia"/>
          <w:kern w:val="0"/>
          <w:sz w:val="26"/>
          <w:szCs w:val="26"/>
        </w:rPr>
        <w:t>專利須檢附專利證明、通過文件及研發成果書面報告（含創作理念、學理基礎、主題內容、方法技巧及成果貢獻）。</w:t>
      </w:r>
    </w:p>
    <w:p w:rsidR="00715F64" w:rsidRPr="00D57B6F" w:rsidRDefault="00715F64" w:rsidP="00715F64">
      <w:pPr>
        <w:spacing w:beforeLines="50"/>
        <w:ind w:left="546" w:hangingChars="210" w:hanging="546"/>
        <w:rPr>
          <w:rFonts w:ascii="標楷體" w:eastAsia="標楷體" w:hAnsi="標楷體"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四、本院認定之學術期刊：</w:t>
      </w:r>
    </w:p>
    <w:p w:rsidR="00715F64" w:rsidRPr="00D57B6F" w:rsidRDefault="00715F64" w:rsidP="00715F64">
      <w:pPr>
        <w:spacing w:beforeLines="50"/>
        <w:ind w:leftChars="204" w:left="763" w:hangingChars="105" w:hanging="273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（一）SSCI、SCI(E)、A&amp;HCI收錄之期刊（SPECIAL ISSUE須檢附審查意見）。</w:t>
      </w:r>
    </w:p>
    <w:p w:rsidR="00715F64" w:rsidRPr="00D57B6F" w:rsidRDefault="00715F64" w:rsidP="00715F64">
      <w:pPr>
        <w:spacing w:beforeLines="50"/>
        <w:ind w:leftChars="204" w:left="763" w:hangingChars="105" w:hanging="273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（二）TSSCI、THCI CORE之期刊。</w:t>
      </w:r>
    </w:p>
    <w:p w:rsidR="00715F64" w:rsidRPr="00D57B6F" w:rsidRDefault="00715F64" w:rsidP="00715F64">
      <w:pPr>
        <w:spacing w:beforeLines="50"/>
        <w:ind w:leftChars="204" w:left="763" w:hangingChars="105" w:hanging="273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bCs/>
          <w:sz w:val="26"/>
          <w:szCs w:val="26"/>
        </w:rPr>
        <w:t>（三）系所提送院教評會認可之其他國內外優良期刊。</w:t>
      </w:r>
    </w:p>
    <w:p w:rsidR="00715F64" w:rsidRPr="00D57B6F" w:rsidRDefault="00715F64" w:rsidP="00715F64">
      <w:pPr>
        <w:spacing w:beforeLines="50"/>
        <w:jc w:val="both"/>
        <w:rPr>
          <w:rFonts w:ascii="標楷體" w:eastAsia="標楷體" w:hAnsi="標楷體" w:hint="eastAsia"/>
          <w:bCs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五、本院教師升等或改聘代表著作須出版於前項之第（一）、（二）類期刊或學術專書。</w:t>
      </w:r>
    </w:p>
    <w:p w:rsidR="00715F64" w:rsidRPr="00D57B6F" w:rsidRDefault="00715F64" w:rsidP="00715F64">
      <w:pPr>
        <w:spacing w:beforeLines="50"/>
        <w:ind w:left="546" w:hangingChars="210" w:hanging="546"/>
        <w:rPr>
          <w:rFonts w:hint="eastAsia"/>
          <w:sz w:val="26"/>
          <w:szCs w:val="26"/>
        </w:rPr>
      </w:pPr>
      <w:r w:rsidRPr="00D57B6F">
        <w:rPr>
          <w:rFonts w:ascii="標楷體" w:eastAsia="標楷體" w:hAnsi="標楷體" w:hint="eastAsia"/>
          <w:sz w:val="26"/>
          <w:szCs w:val="26"/>
        </w:rPr>
        <w:t>六、著作應檢附原刊物封面、目錄及載有審查或編輯委員之封裡，或其他具有審查制度之證明。</w:t>
      </w:r>
    </w:p>
    <w:p w:rsidR="00F3666C" w:rsidRPr="00715F64" w:rsidRDefault="00F3666C"/>
    <w:sectPr w:rsidR="00F3666C" w:rsidRPr="00715F64" w:rsidSect="00F366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F64"/>
    <w:rsid w:val="00715F64"/>
    <w:rsid w:val="00F3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2011-12-13T04:03:00Z</dcterms:created>
  <dcterms:modified xsi:type="dcterms:W3CDTF">2011-12-13T04:03:00Z</dcterms:modified>
</cp:coreProperties>
</file>