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D3DE8" w:rsidRPr="00AD3DE8" w:rsidTr="00AD3D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DE8" w:rsidRPr="00AD3DE8" w:rsidRDefault="00AD3DE8" w:rsidP="00AD3DE8">
            <w:pPr>
              <w:widowControl/>
              <w:jc w:val="center"/>
              <w:rPr>
                <w:rFonts w:ascii="微軟正黑體" w:eastAsia="微軟正黑體" w:hAnsi="微軟正黑體" w:cs="新細明體"/>
                <w:color w:val="373737"/>
                <w:kern w:val="0"/>
                <w:sz w:val="26"/>
                <w:szCs w:val="26"/>
              </w:rPr>
            </w:pPr>
            <w:r w:rsidRPr="00AD3DE8">
              <w:rPr>
                <w:rFonts w:ascii="微軟正黑體" w:eastAsia="微軟正黑體" w:hAnsi="微軟正黑體" w:cs="新細明體" w:hint="eastAsia"/>
                <w:b/>
                <w:bCs/>
                <w:color w:val="373737"/>
                <w:kern w:val="0"/>
                <w:sz w:val="26"/>
                <w:szCs w:val="26"/>
              </w:rPr>
              <w:t>國立中興大學工學院精密工程研究所教師升等評審辦法</w:t>
            </w:r>
          </w:p>
        </w:tc>
      </w:tr>
      <w:tr w:rsidR="00AD3DE8" w:rsidRPr="00AD3DE8" w:rsidTr="00AD3D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DE8" w:rsidRPr="00AD3DE8" w:rsidRDefault="00AD3DE8" w:rsidP="00AD3DE8">
            <w:pPr>
              <w:widowControl/>
              <w:spacing w:after="260"/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</w:pPr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br/>
            </w:r>
          </w:p>
          <w:p w:rsidR="00AD3DE8" w:rsidRPr="00AD3DE8" w:rsidRDefault="00AD3DE8" w:rsidP="00AD3DE8">
            <w:pPr>
              <w:widowControl/>
              <w:jc w:val="right"/>
              <w:rPr>
                <w:rFonts w:ascii="微軟正黑體" w:eastAsia="微軟正黑體" w:hAnsi="微軟正黑體" w:cs="新細明體"/>
                <w:color w:val="373737"/>
                <w:kern w:val="0"/>
                <w:sz w:val="26"/>
                <w:szCs w:val="26"/>
              </w:rPr>
            </w:pPr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t>89/03/08 所</w:t>
            </w:r>
            <w:proofErr w:type="gramStart"/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t>務</w:t>
            </w:r>
            <w:proofErr w:type="gramEnd"/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t>會議修訂通過 </w:t>
            </w:r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br/>
              <w:t>97/06/19 所務會議修訂通過 </w:t>
            </w:r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br/>
              <w:t>98/03/10所務會議修訂通過(第2條) </w:t>
            </w:r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br/>
              <w:t>98/08/27所務會議修訂通過(第2條) </w:t>
            </w:r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br/>
              <w:t>100/12/13所務會議修訂通過(第8條) </w:t>
            </w:r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br/>
              <w:t>102/10/24所務會議修訂通過(第2、11條) </w:t>
            </w:r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br/>
              <w:t>103/10/30所務會議修訂通過(第1、2、7條) </w:t>
            </w:r>
          </w:p>
        </w:tc>
        <w:bookmarkStart w:id="0" w:name="_GoBack"/>
        <w:bookmarkEnd w:id="0"/>
      </w:tr>
      <w:tr w:rsidR="00AD3DE8" w:rsidRPr="00AD3DE8" w:rsidTr="00AD3D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DE8" w:rsidRPr="00AD3DE8" w:rsidRDefault="00AD3DE8" w:rsidP="00AD3DE8">
            <w:pPr>
              <w:widowControl/>
              <w:rPr>
                <w:rFonts w:ascii="微軟正黑體" w:eastAsia="微軟正黑體" w:hAnsi="微軟正黑體" w:cs="新細明體"/>
                <w:color w:val="373737"/>
                <w:kern w:val="0"/>
                <w:sz w:val="26"/>
                <w:szCs w:val="26"/>
              </w:rPr>
            </w:pPr>
            <w:r w:rsidRPr="00AD3DE8">
              <w:rPr>
                <w:rFonts w:ascii="微軟正黑體" w:eastAsia="微軟正黑體" w:hAnsi="微軟正黑體" w:cs="新細明體" w:hint="eastAsia"/>
                <w:color w:val="373737"/>
                <w:kern w:val="0"/>
                <w:sz w:val="26"/>
                <w:szCs w:val="26"/>
              </w:rPr>
              <w:t> </w:t>
            </w:r>
          </w:p>
        </w:tc>
      </w:tr>
      <w:tr w:rsidR="00AD3DE8" w:rsidRPr="00AD3DE8" w:rsidTr="00AD3D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7121"/>
            </w:tblGrid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第一條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本所依據本校各系(所)教師評審委員會組織章程第七條之規定訂定之。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本所教師評審委員會(以下簡稱本會)，設置委員6人，具教授資格之委員應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佔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全體委員三分之二以上，且人數至少5人。委員由下列人員組成之：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1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當然委員：所長(兼召集人)。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1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推(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遴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)選委員：由本所專任講師以上人員就合格教授中推選委員5人組成之。如教授人數不足時，其不足之人數由本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所就校內外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性質相近系(所)教授或國內研究機構具相當教授資格之研究人員遴選若干人，經所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務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會議通過，簽請校長核聘。委員任期一年，連選得連任。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spacing w:after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前項委員須為未曾因違反學術倫理而受校教評會處分者。 </w:t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第一項推(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遴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)選委員應有下列條件之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： 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2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最近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五年於列名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JCR之國際期刊發表論文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含發明專利及技術移轉等成果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三篇(件)(第一作者或通訊作者)以上。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2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最近五年曾主持三年以上科技部研究型計畫者。 </w:t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所長如未具有前項推（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遴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）選委員之資格，應由委員會推選委員一人擔任召集人。 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第三條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本會議由所長擔任會議主席。如所長缺席，由與會人員中推選一位擔任會議主席。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第四條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本會議開會時，須有應出席人員三分之二(含)以上出席始得開議。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第五條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本會議開會時得邀請有關人員列席。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第六條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本所教師升等，須依本校及工學院之相關規定辦理。教師升等人選須符合本所教師升等著作最低門檻方能經由所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務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會議推薦至本會。最低門檻訂定如本辦法第七條之規定。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第七條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由申請人依下列方式自行對其著作列表計點，並將計點結果送交所教評會，副教授升教授其總點數必須超過（含）8點，助理教授升副教授其總點數必須超過（含）6點，始可提出申請，計點須經評審委員會核對認可（如有必要可請申請人列席說明）。計點方式如下：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3"/>
                    </w:numPr>
                    <w:spacing w:after="240"/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以下兩種方式可任選一種： </w:t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採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排序方式： 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1"/>
                      <w:numId w:val="3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自選領域SCI期刊前25%（含），3點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1"/>
                      <w:numId w:val="3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自選領域SCI期刊26％~50%（含），2點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1"/>
                      <w:numId w:val="3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自選領域SCI期刊後51%，1點</w:t>
                  </w:r>
                </w:p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(二)Impact factor累積點數。(提出升等年度之最新資料) </w:t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註：同一期刊之Communication, letter,或Short note等點數減半。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3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發明專利：2點，新型專利：0.5點。 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3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國際proceeding: 0.5點，max 1點。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3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論文或專利內容重覆者，擇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計點。 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3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論文或專利作者，學生除外，第一位作者或通訊作者以全點計算，第二位以全點之1/2，第三位以全點之1/4計算,以此類推。 </w:t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註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：若以專利作為代表作，送審時必須檢附對產業貢獻之相關資料，如技術授權等。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第八條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本所各級教師須合乎工學院教師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聘任暨升等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評審辦法第十九條之規定，方可提出升等案。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擬升等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教師須依規定整理個人相關資料及著作提送召集人。評審按教學績效、學術著作及服務與合作等三項予以審查。審查評分標準如下：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4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教學績效：總分為三十分，依任教課程、教材教案、及學生反應等三項評分。助理教授升等副教授或副教授升等教授，每項評分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範圍均為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五至十分。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4"/>
                    </w:numPr>
                    <w:spacing w:after="240"/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服務與合作：依年資、參與服務、輔導學生、合作態度等四項評分： </w:t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)助理教授升等副教授者，總分為二十五分，年資評分範圍為零至五分，參與服務評分範圍為五至十分，輔導學生評分範圍為二至五分，合作態度評分範圍為二至五分。 </w:t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(二)副教授升等教授者，總分為二十分，年資評分範圍為零至五分，參與服務評分範圍為二至五分，輔導學生評分範圍為二至五分，合作態度評分範圍為二至五分。 </w:t>
                  </w:r>
                </w:p>
                <w:p w:rsidR="00AD3DE8" w:rsidRPr="00AD3DE8" w:rsidRDefault="00AD3DE8" w:rsidP="00AD3DE8">
                  <w:pPr>
                    <w:widowControl/>
                    <w:numPr>
                      <w:ilvl w:val="0"/>
                      <w:numId w:val="4"/>
                    </w:numPr>
                    <w:ind w:left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學術著作：送審之代表著作須為刊登於SCI或EI之學術期刊上。每篇參考著作之評分範圍為三至六分。研討會論文不予計分但可列為參考著作： </w:t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)助理教授升等副教授者，總分為四十五分。代表著作評分範圍為五至十五分，參考著作評分範圍為十至二十五分，論文宣讀二至五分。 </w:t>
                  </w: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(二)副教授升等教授者，總分為五十分。代表著作評分範圍為十至十五分，參考著作評分範圍為十至三十分，論文宣讀二至五分。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第九條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升等案須有出席人員三分之二(含)以上總評分為七十分(含)以上者，始得推薦至工學院教師評審委員會。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第十條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推薦至工學院教師評審委員會之升等案，各項成績及總評分以出席委員之評分去除最高分與最低分者(各取一位)後平均之，並以總評分排定升等之優先順序。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第十一條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兼任教師升等評審標準，與專任教師相同。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第十二條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本辦法如有未盡事宜，悉依本校及工學院之相關規定辦理。</w:t>
                  </w:r>
                </w:p>
              </w:tc>
            </w:tr>
            <w:tr w:rsidR="00AD3DE8" w:rsidRPr="00AD3DE8">
              <w:trPr>
                <w:tblCellSpacing w:w="75" w:type="dxa"/>
              </w:trPr>
              <w:tc>
                <w:tcPr>
                  <w:tcW w:w="0" w:type="auto"/>
                  <w:noWrap/>
                  <w:hideMark/>
                </w:tcPr>
                <w:p w:rsidR="00AD3DE8" w:rsidRPr="00AD3DE8" w:rsidRDefault="00AD3DE8" w:rsidP="00AD3DE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第十三條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DE8" w:rsidRPr="00AD3DE8" w:rsidRDefault="00AD3DE8" w:rsidP="00AD3DE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本辦法經所</w:t>
                  </w:r>
                  <w:proofErr w:type="gramStart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務</w:t>
                  </w:r>
                  <w:proofErr w:type="gramEnd"/>
                  <w:r w:rsidRPr="00AD3DE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會議通過後報請院長核定後發佈施行，修正時亦同。</w:t>
                  </w:r>
                </w:p>
              </w:tc>
            </w:tr>
          </w:tbl>
          <w:p w:rsidR="00AD3DE8" w:rsidRPr="00AD3DE8" w:rsidRDefault="00AD3DE8" w:rsidP="00AD3DE8">
            <w:pPr>
              <w:widowControl/>
              <w:rPr>
                <w:rFonts w:ascii="微軟正黑體" w:eastAsia="微軟正黑體" w:hAnsi="微軟正黑體" w:cs="新細明體"/>
                <w:color w:val="373737"/>
                <w:kern w:val="0"/>
                <w:sz w:val="26"/>
                <w:szCs w:val="26"/>
              </w:rPr>
            </w:pPr>
          </w:p>
        </w:tc>
      </w:tr>
    </w:tbl>
    <w:p w:rsidR="00456BD0" w:rsidRDefault="00456BD0"/>
    <w:sectPr w:rsidR="00456B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DC2"/>
    <w:multiLevelType w:val="multilevel"/>
    <w:tmpl w:val="85FC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F6C9F"/>
    <w:multiLevelType w:val="multilevel"/>
    <w:tmpl w:val="A6C0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32461"/>
    <w:multiLevelType w:val="multilevel"/>
    <w:tmpl w:val="CBEA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94F19"/>
    <w:multiLevelType w:val="multilevel"/>
    <w:tmpl w:val="6E44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E8"/>
    <w:rsid w:val="00456BD0"/>
    <w:rsid w:val="00A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3D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D3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3D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D3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yiyu0929</dc:creator>
  <cp:lastModifiedBy>yiyu0929</cp:lastModifiedBy>
  <cp:revision>1</cp:revision>
  <dcterms:created xsi:type="dcterms:W3CDTF">2018-11-12T12:17:00Z</dcterms:created>
  <dcterms:modified xsi:type="dcterms:W3CDTF">2018-11-12T12:17:00Z</dcterms:modified>
</cp:coreProperties>
</file>