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C0" w:rsidRPr="00D761F4" w:rsidRDefault="005E09C0" w:rsidP="005E09C0">
      <w:pPr>
        <w:snapToGrid w:val="0"/>
        <w:spacing w:line="240" w:lineRule="atLeast"/>
        <w:jc w:val="center"/>
        <w:rPr>
          <w:b/>
          <w:sz w:val="32"/>
          <w:szCs w:val="32"/>
        </w:rPr>
      </w:pPr>
      <w:r w:rsidRPr="00D761F4">
        <w:rPr>
          <w:rFonts w:hint="eastAsia"/>
          <w:b/>
          <w:sz w:val="32"/>
          <w:szCs w:val="32"/>
        </w:rPr>
        <w:t>國立中興大學兼任教師聘任原則</w:t>
      </w:r>
    </w:p>
    <w:p w:rsidR="005E09C0" w:rsidRPr="00762173" w:rsidRDefault="005E09C0" w:rsidP="005E09C0">
      <w:pPr>
        <w:adjustRightInd w:val="0"/>
        <w:snapToGrid w:val="0"/>
        <w:spacing w:line="240" w:lineRule="atLeast"/>
        <w:jc w:val="right"/>
        <w:rPr>
          <w:rFonts w:ascii="Times New Roman" w:hAnsi="Times New Roman"/>
          <w:sz w:val="16"/>
          <w:szCs w:val="16"/>
        </w:rPr>
      </w:pPr>
      <w:r w:rsidRPr="00762173">
        <w:rPr>
          <w:rFonts w:ascii="Times New Roman" w:hAnsi="Times New Roman"/>
          <w:sz w:val="16"/>
          <w:szCs w:val="16"/>
        </w:rPr>
        <w:t>中華民國</w:t>
      </w:r>
      <w:r w:rsidRPr="00762173">
        <w:rPr>
          <w:rFonts w:ascii="Times New Roman" w:hAnsi="Times New Roman"/>
          <w:sz w:val="16"/>
          <w:szCs w:val="16"/>
        </w:rPr>
        <w:t>80</w:t>
      </w:r>
      <w:r w:rsidRPr="00762173">
        <w:rPr>
          <w:rFonts w:ascii="Times New Roman" w:hAnsi="Times New Roman"/>
          <w:sz w:val="16"/>
          <w:szCs w:val="16"/>
        </w:rPr>
        <w:t>年</w:t>
      </w:r>
      <w:r w:rsidRPr="00762173">
        <w:rPr>
          <w:rFonts w:ascii="Times New Roman" w:hAnsi="Times New Roman"/>
          <w:sz w:val="16"/>
          <w:szCs w:val="16"/>
        </w:rPr>
        <w:t>3</w:t>
      </w:r>
      <w:r w:rsidRPr="00762173">
        <w:rPr>
          <w:rFonts w:ascii="Times New Roman" w:hAnsi="Times New Roman"/>
          <w:sz w:val="16"/>
          <w:szCs w:val="16"/>
        </w:rPr>
        <w:t>月</w:t>
      </w:r>
      <w:r w:rsidRPr="00762173">
        <w:rPr>
          <w:rFonts w:ascii="Times New Roman" w:hAnsi="Times New Roman"/>
          <w:sz w:val="16"/>
          <w:szCs w:val="16"/>
        </w:rPr>
        <w:t>20</w:t>
      </w:r>
      <w:r w:rsidRPr="00762173">
        <w:rPr>
          <w:rFonts w:ascii="Times New Roman" w:hAnsi="Times New Roman"/>
          <w:sz w:val="16"/>
          <w:szCs w:val="16"/>
        </w:rPr>
        <w:t>日第</w:t>
      </w:r>
      <w:r w:rsidRPr="00762173">
        <w:rPr>
          <w:rFonts w:ascii="Times New Roman" w:hAnsi="Times New Roman"/>
          <w:sz w:val="16"/>
          <w:szCs w:val="16"/>
        </w:rPr>
        <w:t>203</w:t>
      </w:r>
      <w:r w:rsidRPr="00762173">
        <w:rPr>
          <w:rFonts w:ascii="Times New Roman" w:hAnsi="Times New Roman"/>
          <w:sz w:val="16"/>
          <w:szCs w:val="16"/>
        </w:rPr>
        <w:t>次行政會議訂定</w:t>
      </w:r>
      <w:r w:rsidRPr="00762173">
        <w:rPr>
          <w:rFonts w:ascii="Times New Roman" w:hAnsi="Times New Roman"/>
          <w:sz w:val="16"/>
          <w:szCs w:val="16"/>
        </w:rPr>
        <w:t xml:space="preserve"> </w:t>
      </w:r>
    </w:p>
    <w:p w:rsidR="005E09C0" w:rsidRPr="00762173" w:rsidRDefault="005E09C0" w:rsidP="005E09C0">
      <w:pPr>
        <w:adjustRightInd w:val="0"/>
        <w:snapToGrid w:val="0"/>
        <w:spacing w:line="240" w:lineRule="atLeast"/>
        <w:jc w:val="right"/>
        <w:rPr>
          <w:rFonts w:ascii="Times New Roman" w:hAnsi="Times New Roman"/>
          <w:sz w:val="16"/>
          <w:szCs w:val="16"/>
        </w:rPr>
      </w:pPr>
      <w:r w:rsidRPr="00762173">
        <w:rPr>
          <w:rFonts w:ascii="Times New Roman" w:hAnsi="Times New Roman"/>
          <w:sz w:val="16"/>
          <w:szCs w:val="16"/>
        </w:rPr>
        <w:t>中華民國</w:t>
      </w:r>
      <w:r w:rsidRPr="00762173">
        <w:rPr>
          <w:rFonts w:ascii="Times New Roman" w:hAnsi="Times New Roman"/>
          <w:sz w:val="16"/>
          <w:szCs w:val="16"/>
        </w:rPr>
        <w:t>98</w:t>
      </w:r>
      <w:r w:rsidRPr="00762173">
        <w:rPr>
          <w:rFonts w:ascii="Times New Roman" w:hAnsi="Times New Roman"/>
          <w:sz w:val="16"/>
          <w:szCs w:val="16"/>
        </w:rPr>
        <w:t>年</w:t>
      </w:r>
      <w:r w:rsidRPr="00762173">
        <w:rPr>
          <w:rFonts w:ascii="Times New Roman" w:hAnsi="Times New Roman"/>
          <w:sz w:val="16"/>
          <w:szCs w:val="16"/>
        </w:rPr>
        <w:t>10</w:t>
      </w:r>
      <w:r w:rsidRPr="00762173">
        <w:rPr>
          <w:rFonts w:ascii="Times New Roman" w:hAnsi="Times New Roman"/>
          <w:sz w:val="16"/>
          <w:szCs w:val="16"/>
        </w:rPr>
        <w:t>月</w:t>
      </w:r>
      <w:r w:rsidRPr="00762173">
        <w:rPr>
          <w:rFonts w:ascii="Times New Roman" w:hAnsi="Times New Roman"/>
          <w:sz w:val="16"/>
          <w:szCs w:val="16"/>
        </w:rPr>
        <w:t>28</w:t>
      </w:r>
      <w:r w:rsidRPr="00762173">
        <w:rPr>
          <w:rFonts w:ascii="Times New Roman" w:hAnsi="Times New Roman"/>
          <w:sz w:val="16"/>
          <w:szCs w:val="16"/>
        </w:rPr>
        <w:t>日第</w:t>
      </w:r>
      <w:r w:rsidRPr="00762173">
        <w:rPr>
          <w:rFonts w:ascii="Times New Roman" w:hAnsi="Times New Roman"/>
          <w:sz w:val="16"/>
          <w:szCs w:val="16"/>
        </w:rPr>
        <w:t>347</w:t>
      </w:r>
      <w:r w:rsidRPr="00762173">
        <w:rPr>
          <w:rFonts w:ascii="Times New Roman" w:hAnsi="Times New Roman"/>
          <w:sz w:val="16"/>
          <w:szCs w:val="16"/>
        </w:rPr>
        <w:t>次行政會議修正通過</w:t>
      </w:r>
      <w:r w:rsidRPr="00762173">
        <w:rPr>
          <w:rFonts w:ascii="Times New Roman" w:hAnsi="Times New Roman"/>
          <w:sz w:val="16"/>
          <w:szCs w:val="16"/>
        </w:rPr>
        <w:t xml:space="preserve"> </w:t>
      </w:r>
    </w:p>
    <w:p w:rsidR="005E09C0" w:rsidRPr="00762173" w:rsidRDefault="005E09C0" w:rsidP="005E09C0">
      <w:pPr>
        <w:adjustRightInd w:val="0"/>
        <w:snapToGrid w:val="0"/>
        <w:spacing w:line="240" w:lineRule="atLeast"/>
        <w:jc w:val="right"/>
        <w:rPr>
          <w:rFonts w:ascii="Times New Roman" w:hAnsi="Times New Roman"/>
          <w:sz w:val="16"/>
          <w:szCs w:val="16"/>
        </w:rPr>
      </w:pPr>
      <w:r w:rsidRPr="00762173">
        <w:rPr>
          <w:rFonts w:ascii="Times New Roman" w:hAnsi="Times New Roman"/>
          <w:sz w:val="16"/>
          <w:szCs w:val="16"/>
        </w:rPr>
        <w:t>中華民國</w:t>
      </w:r>
      <w:r w:rsidRPr="00762173">
        <w:rPr>
          <w:rFonts w:ascii="Times New Roman" w:hAnsi="Times New Roman"/>
          <w:sz w:val="16"/>
          <w:szCs w:val="16"/>
        </w:rPr>
        <w:t>101</w:t>
      </w:r>
      <w:r w:rsidRPr="00762173">
        <w:rPr>
          <w:rFonts w:ascii="Times New Roman" w:hAnsi="Times New Roman"/>
          <w:sz w:val="16"/>
          <w:szCs w:val="16"/>
        </w:rPr>
        <w:t>年</w:t>
      </w:r>
      <w:r w:rsidRPr="00762173">
        <w:rPr>
          <w:rFonts w:ascii="Times New Roman" w:hAnsi="Times New Roman"/>
          <w:sz w:val="16"/>
          <w:szCs w:val="16"/>
        </w:rPr>
        <w:t>6</w:t>
      </w:r>
      <w:r w:rsidRPr="00762173">
        <w:rPr>
          <w:rFonts w:ascii="Times New Roman" w:hAnsi="Times New Roman"/>
          <w:sz w:val="16"/>
          <w:szCs w:val="16"/>
        </w:rPr>
        <w:t>月</w:t>
      </w:r>
      <w:r w:rsidRPr="00762173">
        <w:rPr>
          <w:rFonts w:ascii="Times New Roman" w:hAnsi="Times New Roman"/>
          <w:sz w:val="16"/>
          <w:szCs w:val="16"/>
        </w:rPr>
        <w:t>13</w:t>
      </w:r>
      <w:r w:rsidRPr="00762173">
        <w:rPr>
          <w:rFonts w:ascii="Times New Roman" w:hAnsi="Times New Roman"/>
          <w:sz w:val="16"/>
          <w:szCs w:val="16"/>
        </w:rPr>
        <w:t>日第</w:t>
      </w:r>
      <w:r w:rsidRPr="00762173">
        <w:rPr>
          <w:rFonts w:ascii="Times New Roman" w:hAnsi="Times New Roman"/>
          <w:sz w:val="16"/>
          <w:szCs w:val="16"/>
        </w:rPr>
        <w:t>371</w:t>
      </w:r>
      <w:r w:rsidRPr="00762173">
        <w:rPr>
          <w:rFonts w:ascii="Times New Roman" w:hAnsi="Times New Roman"/>
          <w:sz w:val="16"/>
          <w:szCs w:val="16"/>
        </w:rPr>
        <w:t>次行政會議修正通過</w:t>
      </w:r>
    </w:p>
    <w:p w:rsidR="005E09C0" w:rsidRDefault="005E09C0" w:rsidP="005E09C0">
      <w:pPr>
        <w:adjustRightInd w:val="0"/>
        <w:snapToGrid w:val="0"/>
        <w:jc w:val="right"/>
        <w:rPr>
          <w:sz w:val="20"/>
          <w:szCs w:val="20"/>
        </w:rPr>
      </w:pPr>
      <w:r w:rsidRPr="00762173">
        <w:rPr>
          <w:rFonts w:ascii="Times New Roman" w:hAnsi="Times New Roman"/>
          <w:color w:val="FF0000"/>
          <w:sz w:val="16"/>
          <w:szCs w:val="16"/>
        </w:rPr>
        <w:t>中華民國</w:t>
      </w:r>
      <w:r w:rsidRPr="00762173">
        <w:rPr>
          <w:rFonts w:ascii="Times New Roman" w:hAnsi="Times New Roman"/>
          <w:color w:val="FF0000"/>
          <w:sz w:val="16"/>
          <w:szCs w:val="16"/>
        </w:rPr>
        <w:t>10</w:t>
      </w:r>
      <w:r w:rsidRPr="00762173">
        <w:rPr>
          <w:rFonts w:ascii="Times New Roman" w:hAnsi="Times New Roman" w:hint="eastAsia"/>
          <w:color w:val="FF0000"/>
          <w:sz w:val="16"/>
          <w:szCs w:val="16"/>
        </w:rPr>
        <w:t>6</w:t>
      </w:r>
      <w:r w:rsidRPr="00762173">
        <w:rPr>
          <w:rFonts w:ascii="Times New Roman" w:hAnsi="Times New Roman"/>
          <w:color w:val="FF0000"/>
          <w:sz w:val="16"/>
          <w:szCs w:val="16"/>
        </w:rPr>
        <w:t>年</w:t>
      </w:r>
      <w:r w:rsidRPr="00762173">
        <w:rPr>
          <w:rFonts w:ascii="Times New Roman" w:hAnsi="Times New Roman" w:hint="eastAsia"/>
          <w:color w:val="FF0000"/>
          <w:sz w:val="16"/>
          <w:szCs w:val="16"/>
        </w:rPr>
        <w:t>10</w:t>
      </w:r>
      <w:r w:rsidRPr="00762173">
        <w:rPr>
          <w:rFonts w:ascii="Times New Roman" w:hAnsi="Times New Roman"/>
          <w:color w:val="FF0000"/>
          <w:sz w:val="16"/>
          <w:szCs w:val="16"/>
        </w:rPr>
        <w:t>月</w:t>
      </w:r>
      <w:r w:rsidRPr="00762173">
        <w:rPr>
          <w:rFonts w:ascii="Times New Roman" w:hAnsi="Times New Roman"/>
          <w:color w:val="FF0000"/>
          <w:sz w:val="16"/>
          <w:szCs w:val="16"/>
        </w:rPr>
        <w:t>1</w:t>
      </w:r>
      <w:r w:rsidRPr="00762173">
        <w:rPr>
          <w:rFonts w:ascii="Times New Roman" w:hAnsi="Times New Roman" w:hint="eastAsia"/>
          <w:color w:val="FF0000"/>
          <w:sz w:val="16"/>
          <w:szCs w:val="16"/>
        </w:rPr>
        <w:t>8</w:t>
      </w:r>
      <w:r w:rsidRPr="00762173">
        <w:rPr>
          <w:rFonts w:ascii="Times New Roman" w:hAnsi="Times New Roman"/>
          <w:color w:val="FF0000"/>
          <w:sz w:val="16"/>
          <w:szCs w:val="16"/>
        </w:rPr>
        <w:t>日第</w:t>
      </w:r>
      <w:r w:rsidRPr="00762173">
        <w:rPr>
          <w:rFonts w:ascii="Times New Roman" w:hAnsi="Times New Roman" w:hint="eastAsia"/>
          <w:color w:val="FF0000"/>
          <w:sz w:val="16"/>
          <w:szCs w:val="16"/>
        </w:rPr>
        <w:t>410</w:t>
      </w:r>
      <w:r w:rsidRPr="00762173">
        <w:rPr>
          <w:rFonts w:ascii="Times New Roman" w:hAnsi="Times New Roman"/>
          <w:color w:val="FF0000"/>
          <w:sz w:val="16"/>
          <w:szCs w:val="16"/>
        </w:rPr>
        <w:t>次</w:t>
      </w:r>
      <w:r w:rsidRPr="00762173">
        <w:rPr>
          <w:rFonts w:ascii="Times New Roman" w:hAnsi="Times New Roman" w:hint="eastAsia"/>
          <w:color w:val="FF0000"/>
          <w:sz w:val="16"/>
          <w:szCs w:val="16"/>
        </w:rPr>
        <w:t>擴大</w:t>
      </w:r>
      <w:r w:rsidRPr="00762173">
        <w:rPr>
          <w:rFonts w:ascii="Times New Roman" w:hAnsi="Times New Roman"/>
          <w:color w:val="FF0000"/>
          <w:sz w:val="16"/>
          <w:szCs w:val="16"/>
        </w:rPr>
        <w:t>行政會議修正通過</w:t>
      </w:r>
      <w:r w:rsidRPr="00762173">
        <w:rPr>
          <w:rFonts w:hint="eastAsia"/>
          <w:color w:val="FF0000"/>
          <w:sz w:val="16"/>
          <w:szCs w:val="16"/>
        </w:rPr>
        <w:t>（全條文）</w:t>
      </w:r>
    </w:p>
    <w:p w:rsidR="005E09C0" w:rsidRPr="00105F89" w:rsidRDefault="005E09C0" w:rsidP="005E09C0">
      <w:pPr>
        <w:adjustRightInd w:val="0"/>
        <w:snapToGrid w:val="0"/>
        <w:jc w:val="right"/>
        <w:rPr>
          <w:sz w:val="20"/>
          <w:szCs w:val="20"/>
        </w:rPr>
      </w:pPr>
    </w:p>
    <w:p w:rsidR="005E09C0" w:rsidRPr="00C75534" w:rsidRDefault="005E09C0" w:rsidP="005E09C0">
      <w:pPr>
        <w:snapToGrid w:val="0"/>
        <w:spacing w:line="240" w:lineRule="atLeast"/>
        <w:ind w:left="475" w:hangingChars="198" w:hanging="475"/>
        <w:jc w:val="both"/>
        <w:rPr>
          <w:color w:val="FF0000"/>
          <w:u w:val="single"/>
        </w:rPr>
      </w:pPr>
      <w:r w:rsidRPr="00C75534">
        <w:rPr>
          <w:rFonts w:hint="eastAsia"/>
          <w:color w:val="FF0000"/>
          <w:u w:val="single"/>
        </w:rPr>
        <w:t>一、國立中興大學</w:t>
      </w:r>
      <w:r w:rsidRPr="00C75534">
        <w:rPr>
          <w:color w:val="FF0000"/>
          <w:u w:val="single"/>
        </w:rPr>
        <w:t>(以下簡稱本校)為因應各單位教學或指導研究生之需要</w:t>
      </w:r>
      <w:r w:rsidRPr="00C75534">
        <w:rPr>
          <w:rFonts w:hint="eastAsia"/>
          <w:color w:val="FF0000"/>
          <w:u w:val="single"/>
        </w:rPr>
        <w:t>，</w:t>
      </w:r>
      <w:r w:rsidRPr="00C75534">
        <w:rPr>
          <w:color w:val="FF0000"/>
          <w:u w:val="single"/>
        </w:rPr>
        <w:t>依據「專科以上學校兼任教師聘任辦法」訂定本原則。</w:t>
      </w:r>
    </w:p>
    <w:p w:rsidR="005E09C0" w:rsidRDefault="005E09C0" w:rsidP="005E09C0">
      <w:pPr>
        <w:ind w:leftChars="198" w:left="504" w:hangingChars="12" w:hanging="29"/>
      </w:pPr>
      <w:r w:rsidRPr="00C75534">
        <w:rPr>
          <w:rFonts w:hint="eastAsia"/>
          <w:color w:val="FF0000"/>
          <w:u w:val="single"/>
        </w:rPr>
        <w:t>本校兼任教師之聘任，除法令另有規定外，依本原則之規定辦理。</w:t>
      </w:r>
    </w:p>
    <w:p w:rsidR="005E09C0" w:rsidRPr="00105F89" w:rsidRDefault="005E09C0" w:rsidP="005E09C0">
      <w:pPr>
        <w:snapToGrid w:val="0"/>
        <w:spacing w:beforeLines="50" w:before="180" w:line="240" w:lineRule="atLeast"/>
        <w:ind w:left="490" w:hangingChars="204" w:hanging="490"/>
      </w:pPr>
      <w:r w:rsidRPr="00C75534">
        <w:rPr>
          <w:rFonts w:hint="eastAsia"/>
          <w:color w:val="FF0000"/>
          <w:u w:val="single"/>
        </w:rPr>
        <w:t>二</w:t>
      </w:r>
      <w:r w:rsidRPr="000E07CF">
        <w:rPr>
          <w:rFonts w:hint="eastAsia"/>
        </w:rPr>
        <w:t>、</w:t>
      </w:r>
      <w:r w:rsidRPr="00C75534">
        <w:rPr>
          <w:rFonts w:hint="eastAsia"/>
          <w:color w:val="FF0000"/>
          <w:u w:val="single"/>
        </w:rPr>
        <w:t>本校</w:t>
      </w:r>
      <w:r w:rsidRPr="00105F89">
        <w:rPr>
          <w:rFonts w:hint="eastAsia"/>
        </w:rPr>
        <w:t xml:space="preserve">各系所（室、中心、學位學程）分配員額未聘滿時，或專業課程與研究負擔時數過少，不宜聘請專任教師或本校無適當教師可以擔任者，得就課程需要延聘兼任教師，但現有教師，應以符合規定授課時數為原則。 </w:t>
      </w:r>
    </w:p>
    <w:p w:rsidR="005E09C0" w:rsidRPr="00105F89" w:rsidRDefault="005E09C0" w:rsidP="005E09C0">
      <w:pPr>
        <w:ind w:leftChars="192" w:left="473" w:hangingChars="5" w:hanging="12"/>
      </w:pPr>
      <w:r w:rsidRPr="00105F89">
        <w:rPr>
          <w:rFonts w:hint="eastAsia"/>
        </w:rPr>
        <w:t>兼任教師以開授選修課程為原則，如需開授必修課程，應於辦理聘任時敘明具體理由。</w:t>
      </w:r>
    </w:p>
    <w:p w:rsidR="005E09C0" w:rsidRPr="00A4042A" w:rsidRDefault="005E09C0" w:rsidP="005E09C0">
      <w:pPr>
        <w:snapToGrid w:val="0"/>
        <w:spacing w:beforeLines="50" w:before="180" w:line="240" w:lineRule="atLeast"/>
        <w:ind w:left="490" w:hangingChars="204" w:hanging="490"/>
        <w:rPr>
          <w:color w:val="FF0000"/>
        </w:rPr>
      </w:pPr>
      <w:r w:rsidRPr="000D410D">
        <w:rPr>
          <w:rFonts w:hint="eastAsia"/>
          <w:color w:val="FF0000"/>
          <w:u w:val="single"/>
        </w:rPr>
        <w:t>三</w:t>
      </w:r>
      <w:r w:rsidRPr="00A4042A">
        <w:rPr>
          <w:rFonts w:hint="eastAsia"/>
          <w:color w:val="FF0000"/>
        </w:rPr>
        <w:t>、兼任教師之聘任以</w:t>
      </w:r>
      <w:bookmarkStart w:id="0" w:name="_GoBack"/>
      <w:bookmarkEnd w:id="0"/>
      <w:r w:rsidRPr="00A4042A">
        <w:rPr>
          <w:rFonts w:hint="eastAsia"/>
          <w:color w:val="FF0000"/>
        </w:rPr>
        <w:t xml:space="preserve">助理教授以上為原則，但該專長確為稀有或因實務課程需要，亦得聘請兼任講師擔任之。 </w:t>
      </w:r>
    </w:p>
    <w:p w:rsidR="005E09C0" w:rsidRPr="00A4042A" w:rsidRDefault="005E09C0" w:rsidP="005E09C0">
      <w:pPr>
        <w:ind w:leftChars="198" w:left="487" w:hangingChars="5" w:hanging="12"/>
        <w:rPr>
          <w:color w:val="FF0000"/>
        </w:rPr>
      </w:pPr>
      <w:r w:rsidRPr="00A4042A">
        <w:rPr>
          <w:rFonts w:hint="eastAsia"/>
          <w:color w:val="FF0000"/>
        </w:rPr>
        <w:t>兼任教師之資格與專任同，年齡以不超過七十歲為限，但在學術上有特殊成就或本校退休教授，健康情況良好者，得繼續延聘二年。</w:t>
      </w:r>
    </w:p>
    <w:p w:rsidR="005E09C0" w:rsidRDefault="005E09C0" w:rsidP="005E09C0">
      <w:pPr>
        <w:snapToGrid w:val="0"/>
        <w:spacing w:beforeLines="50" w:before="180" w:line="240" w:lineRule="atLeast"/>
        <w:ind w:left="490" w:hangingChars="204" w:hanging="490"/>
        <w:jc w:val="both"/>
        <w:rPr>
          <w:color w:val="FF0000"/>
          <w:u w:val="single"/>
        </w:rPr>
      </w:pPr>
      <w:r w:rsidRPr="00266A45">
        <w:rPr>
          <w:rFonts w:hint="eastAsia"/>
          <w:color w:val="FF0000"/>
          <w:u w:val="single"/>
        </w:rPr>
        <w:t>四</w:t>
      </w:r>
      <w:r w:rsidRPr="0098461D">
        <w:rPr>
          <w:rFonts w:hint="eastAsia"/>
        </w:rPr>
        <w:t>、</w:t>
      </w:r>
      <w:r w:rsidRPr="00266A45">
        <w:rPr>
          <w:rFonts w:hint="eastAsia"/>
          <w:color w:val="FF0000"/>
          <w:u w:val="single"/>
        </w:rPr>
        <w:t>兼任教師之請假，依教師請假規則第三條及專科以上學校兼任教師聘任辦法第九條及第十條規定辦理。</w:t>
      </w:r>
    </w:p>
    <w:p w:rsidR="005E09C0" w:rsidRPr="00105F89" w:rsidRDefault="005E09C0" w:rsidP="005E09C0">
      <w:pPr>
        <w:snapToGrid w:val="0"/>
        <w:spacing w:line="240" w:lineRule="atLeast"/>
        <w:ind w:leftChars="202" w:left="485" w:firstLineChars="2" w:firstLine="5"/>
      </w:pPr>
      <w:r w:rsidRPr="00266A45">
        <w:rPr>
          <w:rFonts w:hint="eastAsia"/>
        </w:rPr>
        <w:t>兼任教師</w:t>
      </w:r>
      <w:r w:rsidRPr="00266A45">
        <w:rPr>
          <w:rFonts w:hint="eastAsia"/>
          <w:color w:val="FF0000"/>
          <w:u w:val="single"/>
        </w:rPr>
        <w:t>應依排定課程按時授課</w:t>
      </w:r>
      <w:r w:rsidRPr="00266A45">
        <w:rPr>
          <w:rFonts w:hint="eastAsia"/>
        </w:rPr>
        <w:t>，</w:t>
      </w:r>
      <w:r w:rsidRPr="007903F1">
        <w:rPr>
          <w:rFonts w:hint="eastAsia"/>
        </w:rPr>
        <w:t>學期中如因特殊原因不克到校授課者，應事先與學校聯繫，定期補授，不得逕請他人代授</w:t>
      </w:r>
      <w:r w:rsidRPr="00BF2D03">
        <w:rPr>
          <w:rFonts w:hint="eastAsia"/>
          <w:color w:val="FF0000"/>
          <w:u w:val="single"/>
        </w:rPr>
        <w:t>。</w:t>
      </w:r>
      <w:r w:rsidRPr="00266A45">
        <w:rPr>
          <w:rFonts w:hint="eastAsia"/>
          <w:color w:val="FF0000"/>
          <w:u w:val="single"/>
        </w:rPr>
        <w:t>依相關規定請假者，應經單位主</w:t>
      </w:r>
      <w:r>
        <w:rPr>
          <w:rFonts w:hint="eastAsia"/>
          <w:b/>
          <w:noProof/>
          <w:sz w:val="28"/>
          <w:szCs w:val="28"/>
        </w:rPr>
        <mc:AlternateContent>
          <mc:Choice Requires="wps">
            <w:drawing>
              <wp:anchor distT="45720" distB="45720" distL="114300" distR="114300" simplePos="0" relativeHeight="251659264" behindDoc="0" locked="1" layoutInCell="1" allowOverlap="1" wp14:anchorId="32885E87" wp14:editId="349F3A95">
                <wp:simplePos x="0" y="0"/>
                <wp:positionH relativeFrom="column">
                  <wp:posOffset>2518410</wp:posOffset>
                </wp:positionH>
                <wp:positionV relativeFrom="page">
                  <wp:posOffset>-654685</wp:posOffset>
                </wp:positionV>
                <wp:extent cx="968375" cy="294640"/>
                <wp:effectExtent l="19050" t="19050" r="22225" b="1016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640"/>
                        </a:xfrm>
                        <a:prstGeom prst="rect">
                          <a:avLst/>
                        </a:prstGeom>
                        <a:solidFill>
                          <a:srgbClr val="FFFFFF"/>
                        </a:solidFill>
                        <a:ln w="38100" cmpd="thickThin">
                          <a:solidFill>
                            <a:srgbClr val="0066FF"/>
                          </a:solidFill>
                          <a:miter lim="800000"/>
                          <a:headEnd/>
                          <a:tailEnd/>
                        </a:ln>
                      </wps:spPr>
                      <wps:txbx>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885E87" id="_x0000_t202" coordsize="21600,21600" o:spt="202" path="m,l,21600r21600,l21600,xe">
                <v:stroke joinstyle="miter"/>
                <v:path gradientshapeok="t" o:connecttype="rect"/>
              </v:shapetype>
              <v:shape id="文字方塊 58" o:spid="_x0000_s1026" type="#_x0000_t202" style="position:absolute;left:0;text-align:left;margin-left:198.3pt;margin-top:-51.55pt;width:76.25pt;height:2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" strokecolor="#06f" strokeweight="3pt">
                <v:stroke linestyle="thickThin"/>
                <v:textbox style="mso-fit-shape-to-text:t">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v:textbox>
                <w10:wrap anchory="page"/>
                <w10:anchorlock/>
              </v:shape>
            </w:pict>
          </mc:Fallback>
        </mc:AlternateContent>
      </w:r>
      <w:r w:rsidRPr="00266A45">
        <w:rPr>
          <w:rFonts w:hint="eastAsia"/>
          <w:color w:val="FF0000"/>
          <w:u w:val="single"/>
        </w:rPr>
        <w:t>管同意，請假所遺課務之調課、補課、代課，依本校教師請假補課、代課規定及鐘點費核計辦法辦理</w:t>
      </w:r>
      <w:r w:rsidRPr="00A51359">
        <w:rPr>
          <w:rFonts w:hint="eastAsia"/>
        </w:rPr>
        <w:t>，</w:t>
      </w:r>
      <w:r w:rsidRPr="007903F1">
        <w:rPr>
          <w:rFonts w:hint="eastAsia"/>
        </w:rPr>
        <w:t>如因特殊需要請其他教授專題講演分擔時數者，須事先報系所（室、中心、學位學程）備查。</w:t>
      </w:r>
    </w:p>
    <w:p w:rsidR="005E09C0" w:rsidRPr="00105F89" w:rsidRDefault="005E09C0" w:rsidP="005E09C0">
      <w:pPr>
        <w:snapToGrid w:val="0"/>
        <w:spacing w:beforeLines="50" w:before="180" w:line="240" w:lineRule="atLeast"/>
        <w:ind w:left="475" w:hangingChars="198" w:hanging="475"/>
      </w:pPr>
      <w:r w:rsidRPr="008D18BE">
        <w:rPr>
          <w:rFonts w:hint="eastAsia"/>
          <w:color w:val="FF0000"/>
          <w:u w:val="single"/>
        </w:rPr>
        <w:t>五</w:t>
      </w:r>
      <w:r w:rsidRPr="00105F89">
        <w:rPr>
          <w:rFonts w:hint="eastAsia"/>
        </w:rPr>
        <w:t>、兼任教師每週授課時數原則上不得超過四小時，但未有專任職務之本校兼任教師總授課時數不得超過九小時。</w:t>
      </w:r>
    </w:p>
    <w:p w:rsidR="005E09C0" w:rsidRPr="00105F89" w:rsidRDefault="005E09C0" w:rsidP="005E09C0">
      <w:pPr>
        <w:ind w:leftChars="203" w:left="504" w:hangingChars="7" w:hanging="17"/>
      </w:pPr>
      <w:r w:rsidRPr="00105F89">
        <w:rPr>
          <w:rFonts w:hint="eastAsia"/>
        </w:rPr>
        <w:t>兼任教師若支援其他系所（室、中心、學位學程）開授課程，所授課程時數應計入被支援之系所（室、中心、學位學程）員額計算，另亦不再重發兼任教師聘書。</w:t>
      </w:r>
    </w:p>
    <w:p w:rsidR="005E09C0" w:rsidRPr="00105F89" w:rsidRDefault="005E09C0" w:rsidP="005E09C0">
      <w:pPr>
        <w:ind w:leftChars="198" w:left="475"/>
      </w:pPr>
      <w:r w:rsidRPr="00105F89">
        <w:rPr>
          <w:rFonts w:hint="eastAsia"/>
        </w:rPr>
        <w:t>進修學士班每一班（單班）之兼任教師合計可支援日間部授課二十小時，其中超過十二小時以上部分，須聘具博士學位或助理教授以上資格者。</w:t>
      </w:r>
    </w:p>
    <w:p w:rsidR="005E09C0" w:rsidRPr="00105F89" w:rsidRDefault="005E09C0" w:rsidP="005E09C0">
      <w:pPr>
        <w:snapToGrid w:val="0"/>
        <w:spacing w:beforeLines="50" w:before="180" w:line="240" w:lineRule="atLeast"/>
        <w:ind w:left="490" w:hangingChars="204" w:hanging="490"/>
      </w:pPr>
      <w:r w:rsidRPr="008D18BE">
        <w:rPr>
          <w:rFonts w:hint="eastAsia"/>
          <w:color w:val="FF0000"/>
          <w:u w:val="single"/>
        </w:rPr>
        <w:t>六</w:t>
      </w:r>
      <w:r w:rsidRPr="00105F89">
        <w:rPr>
          <w:rFonts w:hint="eastAsia"/>
        </w:rPr>
        <w:t>、凡在他校擔任專任教師之兼任教師，不得於本校申請教育部教師資格證書。</w:t>
      </w:r>
    </w:p>
    <w:p w:rsidR="005E09C0" w:rsidRPr="00105F89" w:rsidRDefault="005E09C0" w:rsidP="005E09C0">
      <w:pPr>
        <w:snapToGrid w:val="0"/>
        <w:spacing w:beforeLines="50" w:before="180" w:line="240" w:lineRule="atLeast"/>
        <w:ind w:left="490" w:hangingChars="204" w:hanging="490"/>
      </w:pPr>
      <w:r w:rsidRPr="008D18BE">
        <w:rPr>
          <w:rFonts w:hint="eastAsia"/>
          <w:color w:val="FF0000"/>
          <w:u w:val="single"/>
        </w:rPr>
        <w:t>七</w:t>
      </w:r>
      <w:r w:rsidRPr="00105F89">
        <w:rPr>
          <w:rFonts w:hint="eastAsia"/>
        </w:rPr>
        <w:t>、兼任教師依所授課程（或指導研究生論文）致聘一學期或一學年，如遇有修課人數不足致未開課者，兼任教師所屬單位應</w:t>
      </w:r>
      <w:r w:rsidRPr="00820227">
        <w:rPr>
          <w:rFonts w:hint="eastAsia"/>
          <w:color w:val="FF0000"/>
          <w:u w:val="single"/>
        </w:rPr>
        <w:t>以書面敘明理由終止聘約，並</w:t>
      </w:r>
      <w:r w:rsidRPr="00105F89">
        <w:rPr>
          <w:rFonts w:hint="eastAsia"/>
        </w:rPr>
        <w:t>將聘書收回送交人事室註記實際授課時間後，送回兼任教師。</w:t>
      </w:r>
    </w:p>
    <w:p w:rsidR="005E09C0" w:rsidRDefault="005E09C0" w:rsidP="005E09C0">
      <w:pPr>
        <w:snapToGrid w:val="0"/>
        <w:spacing w:beforeLines="50" w:before="180" w:line="240" w:lineRule="atLeast"/>
        <w:ind w:left="490" w:hangingChars="204" w:hanging="490"/>
        <w:jc w:val="both"/>
      </w:pPr>
      <w:r>
        <w:rPr>
          <w:rFonts w:hint="eastAsia"/>
          <w:color w:val="FF0000"/>
          <w:u w:val="single"/>
        </w:rPr>
        <w:t>八</w:t>
      </w:r>
      <w:r>
        <w:rPr>
          <w:rFonts w:hint="eastAsia"/>
        </w:rPr>
        <w:t>、兼任教師</w:t>
      </w:r>
      <w:r w:rsidRPr="00BF2D03">
        <w:rPr>
          <w:rFonts w:hint="eastAsia"/>
          <w:color w:val="FF0000"/>
          <w:u w:val="single"/>
        </w:rPr>
        <w:t>符合勞工保險條例、就業保險法或全民健康保險法所定資格者，依規定於聘約有效期間內為其投保</w:t>
      </w:r>
      <w:r>
        <w:rPr>
          <w:rFonts w:hint="eastAsia"/>
        </w:rPr>
        <w:t>勞工保險</w:t>
      </w:r>
      <w:r w:rsidRPr="00BF2D03">
        <w:rPr>
          <w:rFonts w:hint="eastAsia"/>
          <w:color w:val="FF0000"/>
          <w:u w:val="single"/>
        </w:rPr>
        <w:t>、就業保險及全民健康保險</w:t>
      </w:r>
      <w:r>
        <w:rPr>
          <w:rFonts w:hint="eastAsia"/>
        </w:rPr>
        <w:t>。</w:t>
      </w:r>
    </w:p>
    <w:p w:rsidR="005E09C0" w:rsidRDefault="005E09C0" w:rsidP="005E09C0">
      <w:pPr>
        <w:snapToGrid w:val="0"/>
        <w:spacing w:line="240" w:lineRule="atLeast"/>
        <w:ind w:leftChars="204" w:left="490" w:firstLineChars="5" w:firstLine="12"/>
        <w:jc w:val="both"/>
      </w:pPr>
      <w:r w:rsidRPr="00105F89">
        <w:rPr>
          <w:rFonts w:hint="eastAsia"/>
        </w:rPr>
        <w:t>兼任教師</w:t>
      </w:r>
      <w:r w:rsidRPr="002725AE">
        <w:rPr>
          <w:rFonts w:hint="eastAsia"/>
        </w:rPr>
        <w:t>已領取勞保老年給付，或年逾六十</w:t>
      </w:r>
      <w:r w:rsidRPr="00BF2D03">
        <w:rPr>
          <w:rFonts w:hint="eastAsia"/>
          <w:color w:val="FF0000"/>
          <w:u w:val="single"/>
        </w:rPr>
        <w:t>五</w:t>
      </w:r>
      <w:r w:rsidRPr="002725AE">
        <w:rPr>
          <w:rFonts w:hint="eastAsia"/>
        </w:rPr>
        <w:t>歲以往無參加勞保紀錄者，應參加職業災害保險</w:t>
      </w:r>
      <w:r w:rsidRPr="00105F89">
        <w:rPr>
          <w:rFonts w:hint="eastAsia"/>
        </w:rPr>
        <w:t>。</w:t>
      </w:r>
    </w:p>
    <w:p w:rsidR="005E09C0" w:rsidRDefault="005E09C0" w:rsidP="005E09C0">
      <w:pPr>
        <w:ind w:leftChars="210" w:left="504"/>
        <w:rPr>
          <w:color w:val="FF0000"/>
          <w:u w:val="single"/>
        </w:rPr>
      </w:pPr>
      <w:r w:rsidRPr="00BF2D03">
        <w:rPr>
          <w:rFonts w:hint="eastAsia"/>
          <w:color w:val="FF0000"/>
          <w:u w:val="single"/>
        </w:rPr>
        <w:t>兼任教師符合勞工退休金條例及專科以上學校兼任教師聘任辦法第十二條所定資格者，應依規定於聘約有效期間按月提繳退休金。</w:t>
      </w:r>
    </w:p>
    <w:p w:rsidR="005E09C0" w:rsidRDefault="005E09C0" w:rsidP="005E09C0">
      <w:pPr>
        <w:widowControl/>
        <w:spacing w:beforeLines="50" w:before="180" w:line="240" w:lineRule="atLeast"/>
        <w:ind w:left="490" w:hangingChars="204" w:hanging="490"/>
        <w:rPr>
          <w:color w:val="FF0000"/>
          <w:u w:val="single"/>
        </w:rPr>
      </w:pPr>
      <w:r>
        <w:rPr>
          <w:rFonts w:hint="eastAsia"/>
          <w:color w:val="FF0000"/>
          <w:u w:val="single"/>
        </w:rPr>
        <w:t>九</w:t>
      </w:r>
      <w:r w:rsidRPr="00BF2D03">
        <w:rPr>
          <w:rFonts w:hint="eastAsia"/>
          <w:color w:val="FF0000"/>
          <w:u w:val="single"/>
        </w:rPr>
        <w:t>、兼任教師如有教師法或專科以上學校兼任教師聘任辦法所定應終止聘約之情事者，本校應終止聘約並依</w:t>
      </w:r>
      <w:r>
        <w:rPr>
          <w:rFonts w:hint="eastAsia"/>
          <w:b/>
          <w:noProof/>
          <w:sz w:val="28"/>
          <w:szCs w:val="28"/>
        </w:rPr>
        <mc:AlternateContent>
          <mc:Choice Requires="wps">
            <w:drawing>
              <wp:anchor distT="45720" distB="45720" distL="114300" distR="114300" simplePos="0" relativeHeight="251660288" behindDoc="0" locked="1" layoutInCell="1" allowOverlap="1" wp14:anchorId="5B97424A" wp14:editId="54D6FAC1">
                <wp:simplePos x="0" y="0"/>
                <wp:positionH relativeFrom="column">
                  <wp:posOffset>2552065</wp:posOffset>
                </wp:positionH>
                <wp:positionV relativeFrom="page">
                  <wp:posOffset>-675640</wp:posOffset>
                </wp:positionV>
                <wp:extent cx="968375" cy="294640"/>
                <wp:effectExtent l="19050" t="19050" r="22225" b="1016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640"/>
                        </a:xfrm>
                        <a:prstGeom prst="rect">
                          <a:avLst/>
                        </a:prstGeom>
                        <a:solidFill>
                          <a:srgbClr val="FFFFFF"/>
                        </a:solidFill>
                        <a:ln w="38100" cmpd="thickThin">
                          <a:solidFill>
                            <a:srgbClr val="0066FF"/>
                          </a:solidFill>
                          <a:miter lim="800000"/>
                          <a:headEnd/>
                          <a:tailEnd/>
                        </a:ln>
                      </wps:spPr>
                      <wps:txbx>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97424A" id="文字方塊 60" o:spid="_x0000_s1027" type="#_x0000_t202" style="position:absolute;left:0;text-align:left;margin-left:200.95pt;margin-top:-53.2pt;width:76.25pt;height:2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" strokecolor="#06f" strokeweight="3pt">
                <v:stroke linestyle="thickThin"/>
                <v:textbox style="mso-fit-shape-to-text:t">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v:textbox>
                <w10:wrap anchory="page"/>
                <w10:anchorlock/>
              </v:shape>
            </w:pict>
          </mc:Fallback>
        </mc:AlternateContent>
      </w:r>
      <w:r w:rsidRPr="00BF2D03">
        <w:rPr>
          <w:rFonts w:hint="eastAsia"/>
          <w:color w:val="FF0000"/>
          <w:u w:val="single"/>
        </w:rPr>
        <w:t>專科以上學校兼任教師聘任辦法第五條規定辦理相關事宜。</w:t>
      </w:r>
    </w:p>
    <w:p w:rsidR="005E09C0" w:rsidRDefault="005E09C0" w:rsidP="005E09C0">
      <w:pPr>
        <w:rPr>
          <w:color w:val="FF0000"/>
          <w:u w:val="single"/>
        </w:rPr>
      </w:pPr>
      <w:r w:rsidRPr="00A12FB0">
        <w:rPr>
          <w:rFonts w:hint="eastAsia"/>
          <w:color w:val="FF0000"/>
          <w:u w:val="single"/>
        </w:rPr>
        <w:t>十、本原則如有未盡事宜，悉依其他相關規定辦理。</w:t>
      </w:r>
    </w:p>
    <w:p w:rsidR="00CF0861" w:rsidRPr="005E09C0" w:rsidRDefault="005E09C0" w:rsidP="00762173">
      <w:pPr>
        <w:snapToGrid w:val="0"/>
        <w:spacing w:beforeLines="50" w:before="180" w:line="240" w:lineRule="atLeast"/>
        <w:ind w:left="490" w:hangingChars="204" w:hanging="490"/>
      </w:pPr>
      <w:r w:rsidRPr="008D18BE">
        <w:rPr>
          <w:rFonts w:hint="eastAsia"/>
          <w:color w:val="FF0000"/>
          <w:u w:val="single"/>
        </w:rPr>
        <w:t>十一</w:t>
      </w:r>
      <w:r w:rsidRPr="00105F89">
        <w:rPr>
          <w:rFonts w:hint="eastAsia"/>
        </w:rPr>
        <w:t>、本原則經行政會議通過後實施，修正時亦同。</w:t>
      </w:r>
    </w:p>
    <w:sectPr w:rsidR="00CF0861" w:rsidRPr="005E09C0" w:rsidSect="00762173">
      <w:pgSz w:w="11906" w:h="16838"/>
      <w:pgMar w:top="568"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A1" w:rsidRDefault="001809A1" w:rsidP="00762173">
      <w:r>
        <w:separator/>
      </w:r>
    </w:p>
  </w:endnote>
  <w:endnote w:type="continuationSeparator" w:id="0">
    <w:p w:rsidR="001809A1" w:rsidRDefault="001809A1" w:rsidP="0076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A1" w:rsidRDefault="001809A1" w:rsidP="00762173">
      <w:r>
        <w:separator/>
      </w:r>
    </w:p>
  </w:footnote>
  <w:footnote w:type="continuationSeparator" w:id="0">
    <w:p w:rsidR="001809A1" w:rsidRDefault="001809A1" w:rsidP="00762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C0"/>
    <w:rsid w:val="000D410D"/>
    <w:rsid w:val="001809A1"/>
    <w:rsid w:val="005E09C0"/>
    <w:rsid w:val="00762173"/>
    <w:rsid w:val="00C640F3"/>
    <w:rsid w:val="00C86059"/>
    <w:rsid w:val="00CF0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C0"/>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173"/>
    <w:pPr>
      <w:tabs>
        <w:tab w:val="center" w:pos="4153"/>
        <w:tab w:val="right" w:pos="8306"/>
      </w:tabs>
      <w:snapToGrid w:val="0"/>
    </w:pPr>
    <w:rPr>
      <w:sz w:val="20"/>
      <w:szCs w:val="20"/>
    </w:rPr>
  </w:style>
  <w:style w:type="character" w:customStyle="1" w:styleId="a4">
    <w:name w:val="頁首 字元"/>
    <w:basedOn w:val="a0"/>
    <w:link w:val="a3"/>
    <w:uiPriority w:val="99"/>
    <w:rsid w:val="00762173"/>
    <w:rPr>
      <w:rFonts w:ascii="標楷體" w:eastAsia="標楷體" w:hAnsi="標楷體" w:cs="Times New Roman"/>
      <w:sz w:val="20"/>
      <w:szCs w:val="20"/>
    </w:rPr>
  </w:style>
  <w:style w:type="paragraph" w:styleId="a5">
    <w:name w:val="footer"/>
    <w:basedOn w:val="a"/>
    <w:link w:val="a6"/>
    <w:uiPriority w:val="99"/>
    <w:unhideWhenUsed/>
    <w:rsid w:val="00762173"/>
    <w:pPr>
      <w:tabs>
        <w:tab w:val="center" w:pos="4153"/>
        <w:tab w:val="right" w:pos="8306"/>
      </w:tabs>
      <w:snapToGrid w:val="0"/>
    </w:pPr>
    <w:rPr>
      <w:sz w:val="20"/>
      <w:szCs w:val="20"/>
    </w:rPr>
  </w:style>
  <w:style w:type="character" w:customStyle="1" w:styleId="a6">
    <w:name w:val="頁尾 字元"/>
    <w:basedOn w:val="a0"/>
    <w:link w:val="a5"/>
    <w:uiPriority w:val="99"/>
    <w:rsid w:val="00762173"/>
    <w:rPr>
      <w:rFonts w:ascii="標楷體" w:eastAsia="標楷體" w:hAnsi="標楷體"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C0"/>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173"/>
    <w:pPr>
      <w:tabs>
        <w:tab w:val="center" w:pos="4153"/>
        <w:tab w:val="right" w:pos="8306"/>
      </w:tabs>
      <w:snapToGrid w:val="0"/>
    </w:pPr>
    <w:rPr>
      <w:sz w:val="20"/>
      <w:szCs w:val="20"/>
    </w:rPr>
  </w:style>
  <w:style w:type="character" w:customStyle="1" w:styleId="a4">
    <w:name w:val="頁首 字元"/>
    <w:basedOn w:val="a0"/>
    <w:link w:val="a3"/>
    <w:uiPriority w:val="99"/>
    <w:rsid w:val="00762173"/>
    <w:rPr>
      <w:rFonts w:ascii="標楷體" w:eastAsia="標楷體" w:hAnsi="標楷體" w:cs="Times New Roman"/>
      <w:sz w:val="20"/>
      <w:szCs w:val="20"/>
    </w:rPr>
  </w:style>
  <w:style w:type="paragraph" w:styleId="a5">
    <w:name w:val="footer"/>
    <w:basedOn w:val="a"/>
    <w:link w:val="a6"/>
    <w:uiPriority w:val="99"/>
    <w:unhideWhenUsed/>
    <w:rsid w:val="00762173"/>
    <w:pPr>
      <w:tabs>
        <w:tab w:val="center" w:pos="4153"/>
        <w:tab w:val="right" w:pos="8306"/>
      </w:tabs>
      <w:snapToGrid w:val="0"/>
    </w:pPr>
    <w:rPr>
      <w:sz w:val="20"/>
      <w:szCs w:val="20"/>
    </w:rPr>
  </w:style>
  <w:style w:type="character" w:customStyle="1" w:styleId="a6">
    <w:name w:val="頁尾 字元"/>
    <w:basedOn w:val="a0"/>
    <w:link w:val="a5"/>
    <w:uiPriority w:val="99"/>
    <w:rsid w:val="00762173"/>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2017-10-31T06:44:00Z</dcterms:created>
  <dcterms:modified xsi:type="dcterms:W3CDTF">2017-10-31T08:02:00Z</dcterms:modified>
</cp:coreProperties>
</file>